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5"/>
        <w:tblpPr w:leftFromText="180" w:rightFromText="180" w:vertAnchor="text" w:horzAnchor="margin" w:tblpY="531"/>
        <w:tblW w:w="0" w:type="auto"/>
        <w:tblLook w:val="04A0" w:firstRow="1" w:lastRow="0" w:firstColumn="1" w:lastColumn="0" w:noHBand="0" w:noVBand="1"/>
      </w:tblPr>
      <w:tblGrid>
        <w:gridCol w:w="8858"/>
      </w:tblGrid>
      <w:tr w:rsidR="00607C31" w14:paraId="00DDD51B" w14:textId="77777777" w:rsidTr="001335E1">
        <w:trPr>
          <w:cnfStyle w:val="100000000000" w:firstRow="1" w:lastRow="0" w:firstColumn="0" w:lastColumn="0" w:oddVBand="0" w:evenVBand="0" w:oddHBand="0"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858" w:type="dxa"/>
          </w:tcPr>
          <w:p w14:paraId="3BC7F3B9" w14:textId="4CF9CC1B" w:rsidR="00607C31" w:rsidRDefault="007D4113" w:rsidP="000E2371">
            <w:pPr>
              <w:pStyle w:val="Heading1"/>
              <w:spacing w:before="0"/>
              <w:jc w:val="center"/>
              <w:outlineLvl w:val="0"/>
            </w:pPr>
            <w:r>
              <w:rPr>
                <w:rFonts w:ascii="Sylfaen" w:hAnsi="Sylfaen" w:cs="Sylfaen"/>
                <w:lang w:val="ka-GE"/>
              </w:rPr>
              <w:t xml:space="preserve">განსაკუთრებული </w:t>
            </w:r>
            <w:r w:rsidR="00607C31">
              <w:rPr>
                <w:rFonts w:ascii="Sylfaen" w:hAnsi="Sylfaen" w:cs="Sylfaen"/>
                <w:lang w:val="ka-GE"/>
              </w:rPr>
              <w:t>მოთხოვნები</w:t>
            </w:r>
            <w:r w:rsidR="005652DE">
              <w:rPr>
                <w:rFonts w:ascii="Sylfaen" w:hAnsi="Sylfaen" w:cs="Sylfaen"/>
                <w:lang w:val="ka-GE"/>
              </w:rPr>
              <w:t>:</w:t>
            </w:r>
          </w:p>
        </w:tc>
      </w:tr>
      <w:tr w:rsidR="00607C31" w:rsidRPr="00DD264C" w14:paraId="4ACC4F83" w14:textId="77777777" w:rsidTr="001335E1">
        <w:trPr>
          <w:trHeight w:val="1485"/>
        </w:trPr>
        <w:tc>
          <w:tcPr>
            <w:cnfStyle w:val="001000000000" w:firstRow="0" w:lastRow="0" w:firstColumn="1" w:lastColumn="0" w:oddVBand="0" w:evenVBand="0" w:oddHBand="0" w:evenHBand="0" w:firstRowFirstColumn="0" w:firstRowLastColumn="0" w:lastRowFirstColumn="0" w:lastRowLastColumn="0"/>
            <w:tcW w:w="8858" w:type="dxa"/>
          </w:tcPr>
          <w:p w14:paraId="5BB6FB0E" w14:textId="4DF39418" w:rsidR="005652DE" w:rsidRDefault="00607C31" w:rsidP="00625839">
            <w:pPr>
              <w:spacing w:before="0"/>
              <w:jc w:val="both"/>
              <w:rPr>
                <w:rFonts w:ascii="Sylfaen" w:hAnsi="Sylfaen" w:cstheme="minorHAnsi"/>
                <w:b w:val="0"/>
                <w:lang w:val="ka-GE"/>
              </w:rPr>
            </w:pPr>
            <w:r w:rsidRPr="00EC3629">
              <w:rPr>
                <w:rFonts w:ascii="Sylfaen" w:hAnsi="Sylfaen" w:cstheme="minorHAnsi"/>
                <w:b w:val="0"/>
                <w:lang w:val="ka-GE"/>
              </w:rPr>
              <w:t>1.აღრიცხვის კვანძის მოწყობა</w:t>
            </w:r>
            <w:r w:rsidR="008C4904">
              <w:rPr>
                <w:rFonts w:ascii="Sylfaen" w:hAnsi="Sylfaen" w:cstheme="minorHAnsi"/>
                <w:b w:val="0"/>
              </w:rPr>
              <w:t xml:space="preserve"> </w:t>
            </w:r>
            <w:r w:rsidR="008C4904" w:rsidRPr="00EC3629">
              <w:rPr>
                <w:rFonts w:ascii="Sylfaen" w:hAnsi="Sylfaen" w:cstheme="minorHAnsi"/>
                <w:b w:val="0"/>
                <w:lang w:val="ka-GE"/>
              </w:rPr>
              <w:t>და მათი ,,სიმბარათებით”   აღჭურვა</w:t>
            </w:r>
            <w:r w:rsidR="008C4904">
              <w:rPr>
                <w:rFonts w:ascii="Sylfaen" w:hAnsi="Sylfaen" w:cstheme="minorHAnsi"/>
                <w:b w:val="0"/>
                <w:lang w:val="ka-GE"/>
              </w:rPr>
              <w:t xml:space="preserve"> უნდა განხორციელდეს საქართველოს ენერგეტიკისა და წყალმომარაგების მარეგულირებელი ეროვნული კომისიის </w:t>
            </w:r>
            <w:r w:rsidR="00520EDD">
              <w:rPr>
                <w:rFonts w:ascii="Sylfaen" w:hAnsi="Sylfaen" w:cstheme="minorHAnsi"/>
                <w:b w:val="0"/>
                <w:lang w:val="ka-GE"/>
              </w:rPr>
              <w:t xml:space="preserve">2014 წლის 17 აპრილის N10 დადგენილებით დამტკიცებული </w:t>
            </w:r>
            <w:r w:rsidRPr="00EC3629">
              <w:rPr>
                <w:rFonts w:ascii="Sylfaen" w:hAnsi="Sylfaen" w:cstheme="minorHAnsi"/>
                <w:b w:val="0"/>
                <w:lang w:val="ka-GE"/>
              </w:rPr>
              <w:t>„ქსელის წესების“</w:t>
            </w:r>
            <w:r w:rsidR="00520EDD">
              <w:rPr>
                <w:rFonts w:ascii="Sylfaen" w:hAnsi="Sylfaen" w:cstheme="minorHAnsi"/>
                <w:b w:val="0"/>
                <w:lang w:val="ka-GE"/>
              </w:rPr>
              <w:t xml:space="preserve"> </w:t>
            </w:r>
            <w:r w:rsidR="00520EDD" w:rsidRPr="00520EDD">
              <w:rPr>
                <w:b w:val="0"/>
              </w:rPr>
              <w:t xml:space="preserve">VIII </w:t>
            </w:r>
            <w:r w:rsidR="00520EDD" w:rsidRPr="00520EDD">
              <w:rPr>
                <w:rFonts w:ascii="Sylfaen" w:hAnsi="Sylfaen"/>
                <w:b w:val="0"/>
                <w:lang w:val="ka-GE"/>
              </w:rPr>
              <w:t xml:space="preserve">თავის </w:t>
            </w:r>
            <w:r w:rsidRPr="00520EDD">
              <w:rPr>
                <w:rFonts w:ascii="Sylfaen" w:hAnsi="Sylfaen" w:cstheme="minorHAnsi"/>
                <w:b w:val="0"/>
                <w:lang w:val="ka-GE"/>
              </w:rPr>
              <w:t>შესაბამისად</w:t>
            </w:r>
          </w:p>
          <w:p w14:paraId="59451891" w14:textId="60DEBAF4" w:rsidR="009C2637" w:rsidRPr="00EC3629" w:rsidRDefault="009C2637" w:rsidP="00625839">
            <w:pPr>
              <w:spacing w:before="0"/>
              <w:jc w:val="both"/>
              <w:rPr>
                <w:rFonts w:ascii="Sylfaen" w:hAnsi="Sylfaen" w:cstheme="minorHAnsi"/>
                <w:b w:val="0"/>
                <w:lang w:val="ka-GE"/>
              </w:rPr>
            </w:pPr>
            <w:r w:rsidRPr="009C2637">
              <w:rPr>
                <w:rFonts w:ascii="Sylfaen" w:hAnsi="Sylfaen" w:cstheme="minorHAnsi"/>
                <w:lang w:val="ka-GE"/>
              </w:rPr>
              <w:t>შენიშვნა:</w:t>
            </w:r>
            <w:r w:rsidR="00F110F0">
              <w:rPr>
                <w:rFonts w:ascii="Sylfaen" w:hAnsi="Sylfaen" w:cstheme="minorHAnsi"/>
                <w:lang w:val="ka-GE"/>
              </w:rPr>
              <w:t xml:space="preserve"> </w:t>
            </w:r>
            <w:r>
              <w:rPr>
                <w:rFonts w:ascii="Sylfaen" w:hAnsi="Sylfaen" w:cstheme="minorHAnsi"/>
                <w:b w:val="0"/>
                <w:lang w:val="ka-GE"/>
              </w:rPr>
              <w:t>სიმბარათების მიწოდება</w:t>
            </w:r>
            <w:r w:rsidR="00F110F0">
              <w:rPr>
                <w:rFonts w:ascii="Sylfaen" w:hAnsi="Sylfaen" w:cstheme="minorHAnsi"/>
                <w:b w:val="0"/>
                <w:lang w:val="ka-GE"/>
              </w:rPr>
              <w:t xml:space="preserve">ს </w:t>
            </w:r>
            <w:r>
              <w:rPr>
                <w:rFonts w:ascii="Sylfaen" w:hAnsi="Sylfaen" w:cstheme="minorHAnsi"/>
                <w:b w:val="0"/>
                <w:lang w:val="ka-GE"/>
              </w:rPr>
              <w:t>უზრუნველყოფს „შემსყიდველი“</w:t>
            </w:r>
          </w:p>
        </w:tc>
      </w:tr>
      <w:tr w:rsidR="00607C31" w:rsidRPr="00DD264C" w14:paraId="14BFAB90" w14:textId="77777777" w:rsidTr="001335E1">
        <w:trPr>
          <w:trHeight w:val="2232"/>
        </w:trPr>
        <w:tc>
          <w:tcPr>
            <w:cnfStyle w:val="001000000000" w:firstRow="0" w:lastRow="0" w:firstColumn="1" w:lastColumn="0" w:oddVBand="0" w:evenVBand="0" w:oddHBand="0" w:evenHBand="0" w:firstRowFirstColumn="0" w:firstRowLastColumn="0" w:lastRowFirstColumn="0" w:lastRowLastColumn="0"/>
            <w:tcW w:w="8858" w:type="dxa"/>
          </w:tcPr>
          <w:p w14:paraId="4BEE6C5B" w14:textId="595D3C01" w:rsidR="00607C31" w:rsidRPr="00EC3629" w:rsidRDefault="00607C31" w:rsidP="008F51B2">
            <w:pPr>
              <w:jc w:val="both"/>
              <w:rPr>
                <w:rFonts w:ascii="Sylfaen" w:hAnsi="Sylfaen" w:cstheme="minorHAnsi"/>
                <w:b w:val="0"/>
                <w:lang w:val="ka-GE"/>
              </w:rPr>
            </w:pPr>
            <w:r w:rsidRPr="00EC3629">
              <w:rPr>
                <w:rFonts w:ascii="Sylfaen" w:hAnsi="Sylfaen" w:cstheme="minorHAnsi"/>
                <w:b w:val="0"/>
                <w:lang w:val="ka-GE"/>
              </w:rPr>
              <w:t xml:space="preserve">2. </w:t>
            </w:r>
            <w:r w:rsidR="00814614">
              <w:rPr>
                <w:rFonts w:ascii="Sylfaen" w:hAnsi="Sylfaen" w:cstheme="minorHAnsi"/>
                <w:b w:val="0"/>
                <w:lang w:val="ka-GE"/>
              </w:rPr>
              <w:t xml:space="preserve">ტენდერში გამარჯვებულმა კომპნიამ უნდა უზრუნველყოს </w:t>
            </w:r>
            <w:r w:rsidRPr="00EC3629">
              <w:rPr>
                <w:rFonts w:ascii="Sylfaen" w:hAnsi="Sylfaen" w:cstheme="minorHAnsi"/>
                <w:b w:val="0"/>
                <w:lang w:val="ka-GE"/>
              </w:rPr>
              <w:t>,,ზედა დონის ესკაა</w:t>
            </w:r>
            <w:r w:rsidR="00814614">
              <w:rPr>
                <w:rFonts w:ascii="Sylfaen" w:hAnsi="Sylfaen" w:cstheme="minorHAnsi"/>
                <w:b w:val="0"/>
                <w:lang w:val="ka-GE"/>
              </w:rPr>
              <w:t xml:space="preserve"> </w:t>
            </w:r>
            <w:r w:rsidRPr="00EC3629">
              <w:rPr>
                <w:rFonts w:ascii="Sylfaen" w:hAnsi="Sylfaen" w:cstheme="minorHAnsi"/>
                <w:b w:val="0"/>
                <w:lang w:val="ka-GE"/>
              </w:rPr>
              <w:t>ან</w:t>
            </w:r>
            <w:r w:rsidR="00814614">
              <w:rPr>
                <w:rFonts w:ascii="Sylfaen" w:hAnsi="Sylfaen" w:cstheme="minorHAnsi"/>
                <w:b w:val="0"/>
                <w:lang w:val="ka-GE"/>
              </w:rPr>
              <w:t xml:space="preserve">/და </w:t>
            </w:r>
            <w:r w:rsidRPr="00EC3629">
              <w:rPr>
                <w:rFonts w:ascii="Sylfaen" w:hAnsi="Sylfaen" w:cstheme="minorHAnsi"/>
                <w:b w:val="0"/>
                <w:lang w:val="ka-GE"/>
              </w:rPr>
              <w:t>შუალედური დონის ესკაა”   სისტემასთან  მიერთება   და     სიგნალის   მიღება</w:t>
            </w:r>
            <w:r w:rsidR="002B4D74">
              <w:rPr>
                <w:rFonts w:ascii="Sylfaen" w:hAnsi="Sylfaen" w:cstheme="minorHAnsi"/>
                <w:b w:val="0"/>
                <w:lang w:val="ka-GE"/>
              </w:rPr>
              <w:t xml:space="preserve"> თითოეული მრიცხველიდან</w:t>
            </w:r>
            <w:r w:rsidRPr="00EC3629">
              <w:rPr>
                <w:rFonts w:ascii="Sylfaen" w:hAnsi="Sylfaen" w:cstheme="minorHAnsi"/>
                <w:b w:val="0"/>
                <w:lang w:val="ka-GE"/>
              </w:rPr>
              <w:t>. შუალედური დონის ესკაა სისტემის მოწყობის შემთხვევაში საჭიროა კავშირის უზრუნველყოფა ზედა დონის ესკაა სისტემასთან.</w:t>
            </w:r>
            <w:r w:rsidR="002B4D74">
              <w:rPr>
                <w:rFonts w:ascii="Sylfaen" w:hAnsi="Sylfaen" w:cstheme="minorHAnsi"/>
                <w:b w:val="0"/>
                <w:lang w:val="ka-GE"/>
              </w:rPr>
              <w:t xml:space="preserve"> იმ შემთხვევაში თუ „შემსყიდველი“ შუალედური დონის ესკაა სისტემა არ იქნება აღჭურვილი სათანადო პროგრამული და ტექნიკური რესურსებით, ტენდერში გამარჯვებულმა კომპანიამ უნდა  უზრუნველყოს ყველა საჭირო კომპონენტის მიწოდება,რათა უზრუნველყოფილ იქნეს ავტომატურ რეჟიმში კავშირის და მონაცემების გადაცემა შუალედური დონის ესკაა სისტემიდან სს „საქართველოს სახელმწიფო ელექტროსისტემის“ ცენტრალურ აღრიცხვის გამზომ-გამოთვლით კომპლექსში. შუალედური დონის ესკაა სისტემის პროგრამული უზრუნველყოფა გამართულია და კავშირი უზრუნველყოფილი  იქნება „ნოვასის“ პროგრამით</w:t>
            </w:r>
            <w:r w:rsidR="005652DE">
              <w:rPr>
                <w:rFonts w:ascii="Sylfaen" w:hAnsi="Sylfaen" w:cstheme="minorHAnsi"/>
                <w:b w:val="0"/>
                <w:lang w:val="ka-GE"/>
              </w:rPr>
              <w:t>;</w:t>
            </w:r>
          </w:p>
        </w:tc>
      </w:tr>
      <w:tr w:rsidR="00607C31" w:rsidRPr="00DD264C" w14:paraId="7082E6EB" w14:textId="77777777" w:rsidTr="001335E1">
        <w:trPr>
          <w:trHeight w:val="936"/>
        </w:trPr>
        <w:tc>
          <w:tcPr>
            <w:cnfStyle w:val="001000000000" w:firstRow="0" w:lastRow="0" w:firstColumn="1" w:lastColumn="0" w:oddVBand="0" w:evenVBand="0" w:oddHBand="0" w:evenHBand="0" w:firstRowFirstColumn="0" w:firstRowLastColumn="0" w:lastRowFirstColumn="0" w:lastRowLastColumn="0"/>
            <w:tcW w:w="8858" w:type="dxa"/>
          </w:tcPr>
          <w:p w14:paraId="18257840" w14:textId="7AC68B7F" w:rsidR="00607C31" w:rsidRPr="00CA29F8" w:rsidRDefault="00607C31" w:rsidP="00625839">
            <w:pPr>
              <w:rPr>
                <w:rFonts w:ascii="Sylfaen" w:hAnsi="Sylfaen" w:cstheme="minorHAnsi"/>
                <w:b w:val="0"/>
                <w:lang w:val="ka-GE"/>
              </w:rPr>
            </w:pPr>
            <w:r w:rsidRPr="00EC3629">
              <w:rPr>
                <w:rFonts w:ascii="Sylfaen" w:hAnsi="Sylfaen" w:cstheme="minorHAnsi"/>
                <w:b w:val="0"/>
                <w:lang w:val="ka-GE"/>
              </w:rPr>
              <w:t xml:space="preserve">3. </w:t>
            </w:r>
            <w:r w:rsidR="00814614">
              <w:rPr>
                <w:rFonts w:ascii="Sylfaen" w:hAnsi="Sylfaen" w:cstheme="minorHAnsi"/>
                <w:b w:val="0"/>
                <w:lang w:val="ka-GE"/>
              </w:rPr>
              <w:t xml:space="preserve">ტენდერში გამარჯვებული კომპანია ვალდებულია უზრუნველყოს </w:t>
            </w:r>
            <w:r w:rsidRPr="00EC3629">
              <w:rPr>
                <w:rFonts w:ascii="Sylfaen" w:hAnsi="Sylfaen" w:cstheme="minorHAnsi"/>
                <w:b w:val="0"/>
                <w:lang w:val="ka-GE"/>
              </w:rPr>
              <w:t>აღრიცხვის კვანძის საბითუმო ვაჭრობაში მიღებისათვის საჭირო დოკუმენტაციის</w:t>
            </w:r>
            <w:r w:rsidR="001D2A9E">
              <w:rPr>
                <w:rFonts w:ascii="Sylfaen" w:hAnsi="Sylfaen" w:cstheme="minorHAnsi"/>
                <w:b w:val="0"/>
                <w:lang w:val="ka-GE"/>
              </w:rPr>
              <w:t xml:space="preserve"> მომზადება, მათი „შემსყიდველის“ მიერ  </w:t>
            </w:r>
            <w:r w:rsidRPr="00EC3629">
              <w:rPr>
                <w:rFonts w:ascii="Sylfaen" w:hAnsi="Sylfaen" w:cstheme="minorHAnsi"/>
                <w:b w:val="0"/>
                <w:lang w:val="ka-GE"/>
              </w:rPr>
              <w:t xml:space="preserve">სს„ელექტროენერგეტიკული სისტემის კომერციული </w:t>
            </w:r>
            <w:r w:rsidR="001D2A9E">
              <w:rPr>
                <w:rFonts w:ascii="Sylfaen" w:hAnsi="Sylfaen" w:cstheme="minorHAnsi"/>
                <w:b w:val="0"/>
                <w:lang w:val="ka-GE"/>
              </w:rPr>
              <w:t>ოპერატორში</w:t>
            </w:r>
            <w:r w:rsidRPr="00EC3629">
              <w:rPr>
                <w:rFonts w:ascii="Sylfaen" w:hAnsi="Sylfaen" w:cstheme="minorHAnsi"/>
                <w:b w:val="0"/>
                <w:lang w:val="ka-GE"/>
              </w:rPr>
              <w:t xml:space="preserve">“, სს „ საქართველოს </w:t>
            </w:r>
            <w:r>
              <w:rPr>
                <w:rFonts w:ascii="Sylfaen" w:hAnsi="Sylfaen" w:cstheme="minorHAnsi"/>
                <w:b w:val="0"/>
                <w:lang w:val="ka-GE"/>
              </w:rPr>
              <w:t>სახელმ</w:t>
            </w:r>
            <w:r w:rsidRPr="00EC3629">
              <w:rPr>
                <w:rFonts w:ascii="Sylfaen" w:hAnsi="Sylfaen" w:cstheme="minorHAnsi"/>
                <w:b w:val="0"/>
                <w:lang w:val="ka-GE"/>
              </w:rPr>
              <w:t>წიფო ელექტრო სისტემა</w:t>
            </w:r>
            <w:r w:rsidR="001D2A9E">
              <w:rPr>
                <w:rFonts w:ascii="Sylfaen" w:hAnsi="Sylfaen" w:cstheme="minorHAnsi"/>
                <w:b w:val="0"/>
                <w:lang w:val="ka-GE"/>
              </w:rPr>
              <w:t>ში</w:t>
            </w:r>
            <w:r w:rsidRPr="00EC3629">
              <w:rPr>
                <w:rFonts w:ascii="Sylfaen" w:hAnsi="Sylfaen" w:cstheme="minorHAnsi"/>
                <w:b w:val="0"/>
                <w:lang w:val="ka-GE"/>
              </w:rPr>
              <w:t>“, სს „</w:t>
            </w:r>
            <w:r w:rsidR="001D2A9E">
              <w:rPr>
                <w:rFonts w:ascii="Sylfaen" w:hAnsi="Sylfaen" w:cstheme="minorHAnsi"/>
                <w:b w:val="0"/>
                <w:lang w:val="ka-GE"/>
              </w:rPr>
              <w:t>თელასში</w:t>
            </w:r>
            <w:r w:rsidRPr="00EC3629">
              <w:rPr>
                <w:rFonts w:ascii="Sylfaen" w:hAnsi="Sylfaen" w:cstheme="minorHAnsi"/>
                <w:b w:val="0"/>
                <w:lang w:val="ka-GE"/>
              </w:rPr>
              <w:t>“ ან სს „ენერგო-პრო ჯორჯია</w:t>
            </w:r>
            <w:r w:rsidR="001D2A9E">
              <w:rPr>
                <w:rFonts w:ascii="Sylfaen" w:hAnsi="Sylfaen" w:cstheme="minorHAnsi"/>
                <w:b w:val="0"/>
                <w:lang w:val="ka-GE"/>
              </w:rPr>
              <w:t>ში“ წარსადგენად.</w:t>
            </w:r>
            <w:r w:rsidR="003143C5">
              <w:rPr>
                <w:rFonts w:ascii="Sylfaen" w:hAnsi="Sylfaen" w:cstheme="minorHAnsi"/>
                <w:b w:val="0"/>
                <w:lang w:val="ka-GE"/>
              </w:rPr>
              <w:t xml:space="preserve"> აღნიშნული პროცესი წარმიმართება</w:t>
            </w:r>
            <w:r w:rsidR="00625839">
              <w:rPr>
                <w:rFonts w:ascii="Sylfaen" w:hAnsi="Sylfaen" w:cstheme="minorHAnsi"/>
                <w:b w:val="0"/>
                <w:lang w:val="ka-GE"/>
              </w:rPr>
              <w:t xml:space="preserve"> </w:t>
            </w:r>
            <w:r w:rsidR="003143C5">
              <w:rPr>
                <w:rFonts w:ascii="Sylfaen" w:hAnsi="Sylfaen" w:cstheme="minorHAnsi"/>
                <w:b w:val="0"/>
                <w:lang w:val="ka-GE"/>
              </w:rPr>
              <w:t xml:space="preserve">„შემსყიდველის“ორგანიზებით და ხელშეწყობით. </w:t>
            </w:r>
            <w:bookmarkStart w:id="0" w:name="_GoBack"/>
            <w:bookmarkEnd w:id="0"/>
            <w:r w:rsidR="003143C5" w:rsidRPr="00897C68">
              <w:rPr>
                <w:rFonts w:ascii="Sylfaen" w:hAnsi="Sylfaen" w:cstheme="minorHAnsi"/>
                <w:b w:val="0"/>
                <w:lang w:val="ka-GE"/>
              </w:rPr>
              <w:t>ტენდერში გამარჯვებული კომპანიის მიერ მოწოდებული  მრიცხველები და დენის ტრანსფორმატორები უნდა იყოს საქ.სტანდარატში დამოწმებული, უნდა გააჩნდეს ქარხნული გაზომვის და კალიბრაციის ოქმები</w:t>
            </w:r>
            <w:r w:rsidR="005652DE" w:rsidRPr="00897C68">
              <w:rPr>
                <w:rFonts w:ascii="Sylfaen" w:hAnsi="Sylfaen" w:cstheme="minorHAnsi"/>
                <w:b w:val="0"/>
                <w:lang w:val="ka-GE"/>
              </w:rPr>
              <w:t>;</w:t>
            </w:r>
          </w:p>
        </w:tc>
      </w:tr>
      <w:tr w:rsidR="00607C31" w:rsidRPr="00DD264C" w14:paraId="566BB65D" w14:textId="77777777" w:rsidTr="001335E1">
        <w:trPr>
          <w:trHeight w:val="1868"/>
        </w:trPr>
        <w:tc>
          <w:tcPr>
            <w:cnfStyle w:val="001000000000" w:firstRow="0" w:lastRow="0" w:firstColumn="1" w:lastColumn="0" w:oddVBand="0" w:evenVBand="0" w:oddHBand="0" w:evenHBand="0" w:firstRowFirstColumn="0" w:firstRowLastColumn="0" w:lastRowFirstColumn="0" w:lastRowLastColumn="0"/>
            <w:tcW w:w="8858" w:type="dxa"/>
          </w:tcPr>
          <w:p w14:paraId="18642EFF" w14:textId="3A7B1B26" w:rsidR="00607C31" w:rsidRPr="00D246AE" w:rsidRDefault="00607C31" w:rsidP="008F51B2">
            <w:pPr>
              <w:spacing w:before="0" w:after="160" w:line="259" w:lineRule="auto"/>
              <w:contextualSpacing/>
              <w:rPr>
                <w:rFonts w:ascii="Sylfaen" w:hAnsi="Sylfaen" w:cstheme="minorHAnsi"/>
                <w:b w:val="0"/>
                <w:lang w:val="ka-GE"/>
              </w:rPr>
            </w:pPr>
            <w:r w:rsidRPr="00D246AE">
              <w:rPr>
                <w:rFonts w:ascii="Sylfaen" w:hAnsi="Sylfaen" w:cstheme="minorHAnsi"/>
                <w:b w:val="0"/>
                <w:lang w:val="ka-GE"/>
              </w:rPr>
              <w:t xml:space="preserve">4. </w:t>
            </w:r>
            <w:r w:rsidRPr="00226D77">
              <w:rPr>
                <w:rFonts w:ascii="Sylfaen" w:hAnsi="Sylfaen" w:cstheme="minorHAnsi"/>
                <w:b w:val="0"/>
                <w:lang w:val="ka-GE"/>
              </w:rPr>
              <w:t xml:space="preserve">დამონტაჟებული აღრიცხვის </w:t>
            </w:r>
            <w:r w:rsidR="00CA29F8">
              <w:rPr>
                <w:rFonts w:ascii="Sylfaen" w:hAnsi="Sylfaen" w:cstheme="minorHAnsi"/>
                <w:b w:val="0"/>
                <w:lang w:val="ka-GE"/>
              </w:rPr>
              <w:t>კვანძები</w:t>
            </w:r>
            <w:r w:rsidRPr="00226D77">
              <w:rPr>
                <w:rFonts w:ascii="Sylfaen" w:hAnsi="Sylfaen" w:cstheme="minorHAnsi"/>
                <w:b w:val="0"/>
                <w:lang w:val="ka-GE"/>
              </w:rPr>
              <w:t>ს</w:t>
            </w:r>
            <w:r w:rsidR="00CA29F8">
              <w:rPr>
                <w:rFonts w:ascii="Sylfaen" w:hAnsi="Sylfaen" w:cstheme="minorHAnsi"/>
                <w:b w:val="0"/>
                <w:lang w:val="ka-GE"/>
              </w:rPr>
              <w:t xml:space="preserve"> ერთობლივი კომისიის </w:t>
            </w:r>
            <w:r w:rsidR="00CA29F8" w:rsidRPr="00226D77">
              <w:rPr>
                <w:rFonts w:ascii="Sylfaen" w:hAnsi="Sylfaen" w:cstheme="minorHAnsi"/>
                <w:b w:val="0"/>
                <w:lang w:val="ka-GE"/>
              </w:rPr>
              <w:t xml:space="preserve">(სს„ელექტროენერგეტიკული სისტემის კომერციული ოპერატორი“, სს „ საქართველოს </w:t>
            </w:r>
            <w:r w:rsidR="00CA29F8">
              <w:rPr>
                <w:rFonts w:ascii="Sylfaen" w:hAnsi="Sylfaen" w:cstheme="minorHAnsi"/>
                <w:b w:val="0"/>
                <w:lang w:val="ka-GE"/>
              </w:rPr>
              <w:t>სახელმ</w:t>
            </w:r>
            <w:r w:rsidR="00CA29F8" w:rsidRPr="00226D77">
              <w:rPr>
                <w:rFonts w:ascii="Sylfaen" w:hAnsi="Sylfaen" w:cstheme="minorHAnsi"/>
                <w:b w:val="0"/>
                <w:lang w:val="ka-GE"/>
              </w:rPr>
              <w:t xml:space="preserve">წიფო ელექტრო სისტემა“, სს „თელასი“ ან სს „ენერგო-პრო ჯორჯია“) </w:t>
            </w:r>
            <w:r w:rsidR="00CA29F8">
              <w:rPr>
                <w:rFonts w:ascii="Sylfaen" w:hAnsi="Sylfaen" w:cstheme="minorHAnsi"/>
                <w:b w:val="0"/>
                <w:lang w:val="ka-GE"/>
              </w:rPr>
              <w:t xml:space="preserve"> მიერ შემოწმებას, დალუქვას და ექსპლუატაციაში მიღებისთვის საჭირო დოკუმენტაციის წარდგენას უზრუნველყოფს „შემსყიდველი“. კომისიის მხარეებთან კომუნიკაციას, ვიზიტს და შემოწმების ორგანიზებას უზრუნველყოფს „შემსყიდველი</w:t>
            </w:r>
            <w:r w:rsidR="005652DE">
              <w:rPr>
                <w:rFonts w:ascii="Sylfaen" w:hAnsi="Sylfaen" w:cstheme="minorHAnsi"/>
                <w:b w:val="0"/>
                <w:lang w:val="ka-GE"/>
              </w:rPr>
              <w:t>“;</w:t>
            </w:r>
          </w:p>
        </w:tc>
      </w:tr>
      <w:tr w:rsidR="00607C31" w:rsidRPr="00DD264C" w14:paraId="42CE108A" w14:textId="77777777" w:rsidTr="001335E1">
        <w:trPr>
          <w:trHeight w:val="990"/>
        </w:trPr>
        <w:tc>
          <w:tcPr>
            <w:cnfStyle w:val="001000000000" w:firstRow="0" w:lastRow="0" w:firstColumn="1" w:lastColumn="0" w:oddVBand="0" w:evenVBand="0" w:oddHBand="0" w:evenHBand="0" w:firstRowFirstColumn="0" w:firstRowLastColumn="0" w:lastRowFirstColumn="0" w:lastRowLastColumn="0"/>
            <w:tcW w:w="8858" w:type="dxa"/>
          </w:tcPr>
          <w:p w14:paraId="1BDE862C" w14:textId="1242943F" w:rsidR="00607C31" w:rsidRPr="009D34C8" w:rsidRDefault="00607C31" w:rsidP="008F51B2">
            <w:pPr>
              <w:spacing w:before="0" w:after="0" w:line="240" w:lineRule="auto"/>
              <w:rPr>
                <w:rFonts w:eastAsia="Times New Roman"/>
                <w:b w:val="0"/>
                <w:lang w:val="ka-GE"/>
              </w:rPr>
            </w:pPr>
            <w:r w:rsidRPr="00D246AE">
              <w:rPr>
                <w:rFonts w:ascii="Sylfaen" w:eastAsia="Times New Roman" w:hAnsi="Sylfaen"/>
                <w:b w:val="0"/>
                <w:lang w:val="ka-GE"/>
              </w:rPr>
              <w:t xml:space="preserve">7. </w:t>
            </w:r>
            <w:r w:rsidR="009D34C8">
              <w:rPr>
                <w:rFonts w:ascii="Sylfaen" w:eastAsia="Times New Roman" w:hAnsi="Sylfaen"/>
                <w:b w:val="0"/>
                <w:lang w:val="ka-GE"/>
              </w:rPr>
              <w:t>პროგრამული უზრუნველყოფის სამუშაოების დასრულებას და სატესტო მრიცხველის დაკავშირებას საქართველოს სახელმწიფო ელექტროსისტემის ზედა დონის ესკაა სისტემის ცენტრალურ აგგკ-სთან უზრუნველყოფს გამყიდველი;</w:t>
            </w:r>
          </w:p>
        </w:tc>
      </w:tr>
      <w:tr w:rsidR="00607C31" w:rsidRPr="00DD264C" w14:paraId="2B29C96F" w14:textId="77777777" w:rsidTr="001335E1">
        <w:trPr>
          <w:trHeight w:val="749"/>
        </w:trPr>
        <w:tc>
          <w:tcPr>
            <w:cnfStyle w:val="001000000000" w:firstRow="0" w:lastRow="0" w:firstColumn="1" w:lastColumn="0" w:oddVBand="0" w:evenVBand="0" w:oddHBand="0" w:evenHBand="0" w:firstRowFirstColumn="0" w:firstRowLastColumn="0" w:lastRowFirstColumn="0" w:lastRowLastColumn="0"/>
            <w:tcW w:w="8858" w:type="dxa"/>
          </w:tcPr>
          <w:p w14:paraId="747AEED8" w14:textId="10274A83" w:rsidR="00607C31" w:rsidRPr="00D246AE" w:rsidRDefault="00607C31" w:rsidP="008F51B2">
            <w:pPr>
              <w:spacing w:before="0" w:after="0" w:line="240" w:lineRule="auto"/>
              <w:rPr>
                <w:rFonts w:eastAsia="Times New Roman"/>
                <w:b w:val="0"/>
              </w:rPr>
            </w:pPr>
            <w:r w:rsidRPr="00616FA1">
              <w:rPr>
                <w:rFonts w:ascii="Sylfaen" w:eastAsia="Times New Roman" w:hAnsi="Sylfaen"/>
                <w:b w:val="0"/>
                <w:lang w:val="ka-GE"/>
              </w:rPr>
              <w:lastRenderedPageBreak/>
              <w:t xml:space="preserve">8. </w:t>
            </w:r>
            <w:r w:rsidR="009D34C8" w:rsidRPr="002315AD">
              <w:rPr>
                <w:rFonts w:ascii="Sylfaen" w:eastAsia="Times New Roman" w:hAnsi="Sylfaen"/>
                <w:b w:val="0"/>
                <w:lang w:val="ka-GE"/>
              </w:rPr>
              <w:t xml:space="preserve">ტენდრში გამარჯვებული კომპანია ვალდებულია საჭიროების შემთხვევაში „შემსყიდველის“ თანამშრომლებს ჩაუტაროს </w:t>
            </w:r>
            <w:r w:rsidRPr="002315AD">
              <w:rPr>
                <w:rFonts w:ascii="Sylfaen" w:eastAsia="Times New Roman" w:hAnsi="Sylfaen"/>
                <w:b w:val="0"/>
                <w:lang w:val="ka-GE"/>
              </w:rPr>
              <w:t>მონტაჟის ინსტრუქტაჟი</w:t>
            </w:r>
            <w:r w:rsidR="004846AB" w:rsidRPr="00616FA1">
              <w:rPr>
                <w:rFonts w:ascii="Sylfaen" w:eastAsia="Times New Roman" w:hAnsi="Sylfaen"/>
                <w:b w:val="0"/>
                <w:lang w:val="ka-GE"/>
              </w:rPr>
              <w:t>.</w:t>
            </w:r>
          </w:p>
        </w:tc>
      </w:tr>
    </w:tbl>
    <w:p w14:paraId="7C7E94FF" w14:textId="28ABBEA4" w:rsidR="006C23BC" w:rsidRPr="006C23BC" w:rsidRDefault="006C23BC">
      <w:pPr>
        <w:rPr>
          <w:rFonts w:ascii="Sylfaen" w:hAnsi="Sylfaen" w:cstheme="minorHAnsi"/>
          <w:lang w:val="ka-GE"/>
        </w:rPr>
      </w:pPr>
    </w:p>
    <w:p w14:paraId="1F26E3B0" w14:textId="5A2485C9" w:rsidR="006C23BC" w:rsidRPr="005652DE" w:rsidRDefault="006C23BC" w:rsidP="008E5ACE">
      <w:pPr>
        <w:pStyle w:val="Heading1"/>
        <w:jc w:val="center"/>
        <w:rPr>
          <w:rFonts w:ascii="Sylfaen" w:hAnsi="Sylfaen" w:cs="Sylfaen"/>
          <w:b/>
          <w:bCs/>
          <w:lang w:val="ka-GE"/>
        </w:rPr>
      </w:pPr>
      <w:r w:rsidRPr="005652DE">
        <w:rPr>
          <w:rFonts w:ascii="Sylfaen" w:hAnsi="Sylfaen" w:cs="Sylfaen"/>
          <w:b/>
          <w:bCs/>
          <w:lang w:val="ka-GE"/>
        </w:rPr>
        <w:t>ტექნიკური დავალება და აღრიცხვის კვანძების მოწყობის პირობები</w:t>
      </w:r>
      <w:r w:rsidR="005652DE">
        <w:rPr>
          <w:rFonts w:ascii="Sylfaen" w:hAnsi="Sylfaen" w:cs="Sylfaen"/>
          <w:b/>
          <w:bCs/>
          <w:lang w:val="ka-GE"/>
        </w:rPr>
        <w:t>:</w:t>
      </w:r>
    </w:p>
    <w:p w14:paraId="31F9A3E4" w14:textId="3A69698D" w:rsidR="006C23BC" w:rsidRPr="006C23BC" w:rsidRDefault="004106F7" w:rsidP="006C23BC">
      <w:pPr>
        <w:spacing w:after="160" w:line="259" w:lineRule="auto"/>
        <w:jc w:val="both"/>
        <w:rPr>
          <w:rFonts w:ascii="Sylfaen" w:hAnsi="Sylfaen" w:cstheme="minorHAnsi"/>
          <w:lang w:val="ka-GE"/>
        </w:rPr>
      </w:pPr>
      <w:r>
        <w:rPr>
          <w:rFonts w:ascii="Sylfaen" w:hAnsi="Sylfaen" w:cstheme="minorHAnsi"/>
          <w:lang w:val="ka-GE"/>
        </w:rPr>
        <w:t>-</w:t>
      </w:r>
      <w:r w:rsidR="006C23BC" w:rsidRPr="006C23BC">
        <w:rPr>
          <w:rFonts w:ascii="Sylfaen" w:hAnsi="Sylfaen" w:cstheme="minorHAnsi"/>
          <w:lang w:val="ka-GE"/>
        </w:rPr>
        <w:t>აღრიცხვის კვანძის მოწყობაში გამოყენებული ყველა მოწყობილობა დამოწმებული უნდა იყოს საქ.სტანდარტის მიერ</w:t>
      </w:r>
      <w:r>
        <w:rPr>
          <w:rFonts w:ascii="Sylfaen" w:hAnsi="Sylfaen" w:cstheme="minorHAnsi"/>
          <w:lang w:val="ka-GE"/>
        </w:rPr>
        <w:t>;</w:t>
      </w:r>
    </w:p>
    <w:p w14:paraId="1A8D1EEE" w14:textId="05C43094" w:rsidR="006C23BC" w:rsidRPr="006C23BC" w:rsidRDefault="004106F7" w:rsidP="008E5ACE">
      <w:pPr>
        <w:spacing w:after="160" w:line="259" w:lineRule="auto"/>
        <w:jc w:val="both"/>
        <w:rPr>
          <w:rFonts w:ascii="Sylfaen" w:hAnsi="Sylfaen" w:cstheme="minorHAnsi"/>
          <w:lang w:val="ka-GE"/>
        </w:rPr>
      </w:pPr>
      <w:r>
        <w:rPr>
          <w:rFonts w:ascii="Sylfaen" w:hAnsi="Sylfaen" w:cstheme="minorHAnsi"/>
          <w:lang w:val="ka-GE"/>
        </w:rPr>
        <w:t>-</w:t>
      </w:r>
      <w:r w:rsidR="006C23BC" w:rsidRPr="006C23BC">
        <w:rPr>
          <w:rFonts w:ascii="Sylfaen" w:hAnsi="Sylfaen" w:cstheme="minorHAnsi"/>
          <w:lang w:val="ka-GE"/>
        </w:rPr>
        <w:t>სატუმბო  სადგურის  ელ.ქსელის  შესწავლა,  საჭიროების შემთხვევაში აღრიცხვიის კვანძის დენისა და ძაბვის  ტრანსფორმატორების  შეცვლა „ქსელის წესების“ შესაბამისად.</w:t>
      </w:r>
    </w:p>
    <w:p w14:paraId="32E8449D" w14:textId="77777777" w:rsidR="006C23BC" w:rsidRPr="005652DE" w:rsidRDefault="006C23BC" w:rsidP="00D246AE">
      <w:pPr>
        <w:pStyle w:val="Heading1"/>
        <w:jc w:val="center"/>
        <w:rPr>
          <w:rFonts w:ascii="Sylfaen" w:hAnsi="Sylfaen" w:cs="Sylfaen"/>
          <w:b/>
          <w:bCs/>
          <w:lang w:val="ka-GE"/>
        </w:rPr>
      </w:pPr>
      <w:r w:rsidRPr="005652DE">
        <w:rPr>
          <w:rFonts w:ascii="Sylfaen" w:hAnsi="Sylfaen" w:cs="Sylfaen"/>
          <w:b/>
          <w:bCs/>
          <w:lang w:val="ka-GE"/>
        </w:rPr>
        <w:t>აღრიცხვის კვანძების მოწყობის პირობები:</w:t>
      </w:r>
    </w:p>
    <w:p w14:paraId="139CFEB3" w14:textId="77777777" w:rsidR="0002433B" w:rsidRDefault="0002433B" w:rsidP="0002433B">
      <w:pPr>
        <w:pStyle w:val="ListParagraph"/>
        <w:widowControl w:val="0"/>
        <w:autoSpaceDE w:val="0"/>
        <w:autoSpaceDN w:val="0"/>
        <w:adjustRightInd w:val="0"/>
        <w:spacing w:after="0" w:line="360" w:lineRule="auto"/>
        <w:ind w:right="84"/>
        <w:jc w:val="both"/>
        <w:rPr>
          <w:rFonts w:ascii="Sylfaen" w:hAnsi="Sylfaen" w:cstheme="minorHAnsi"/>
          <w:sz w:val="20"/>
          <w:szCs w:val="20"/>
          <w:lang w:val="ka-GE"/>
        </w:rPr>
      </w:pPr>
    </w:p>
    <w:p w14:paraId="2648E11D" w14:textId="696B0BC2" w:rsidR="0002433B" w:rsidRPr="00333C8F" w:rsidRDefault="006C23BC" w:rsidP="00333C8F">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ელექტროენერგიის</w:t>
      </w:r>
      <w:r w:rsidR="00F37A4C">
        <w:rPr>
          <w:rFonts w:ascii="Sylfaen" w:hAnsi="Sylfaen" w:cstheme="minorHAnsi"/>
          <w:sz w:val="20"/>
          <w:szCs w:val="20"/>
        </w:rPr>
        <w:t xml:space="preserve"> </w:t>
      </w:r>
      <w:r w:rsidR="00F37A4C">
        <w:rPr>
          <w:rFonts w:ascii="Sylfaen" w:hAnsi="Sylfaen" w:cstheme="minorHAnsi"/>
          <w:sz w:val="20"/>
          <w:szCs w:val="20"/>
          <w:lang w:val="ka-GE"/>
        </w:rPr>
        <w:t xml:space="preserve">აღრიცხვის საკომუნიკაციო მოწყობილობები </w:t>
      </w:r>
      <w:r w:rsidR="000716CA">
        <w:rPr>
          <w:rFonts w:ascii="Sylfaen" w:hAnsi="Sylfaen" w:cstheme="minorHAnsi"/>
          <w:sz w:val="20"/>
          <w:szCs w:val="20"/>
          <w:lang w:val="ka-GE"/>
        </w:rPr>
        <w:t>უნდა განთავსდეს</w:t>
      </w:r>
      <w:r w:rsidR="00F37A4C">
        <w:rPr>
          <w:rFonts w:ascii="Sylfaen" w:hAnsi="Sylfaen" w:cstheme="minorHAnsi"/>
          <w:sz w:val="20"/>
          <w:szCs w:val="20"/>
          <w:lang w:val="ka-GE"/>
        </w:rPr>
        <w:t xml:space="preserve"> </w:t>
      </w:r>
      <w:r w:rsidRPr="006C23BC">
        <w:rPr>
          <w:rFonts w:ascii="Sylfaen" w:hAnsi="Sylfaen" w:cstheme="minorHAnsi"/>
          <w:sz w:val="20"/>
          <w:szCs w:val="20"/>
          <w:lang w:val="ka-GE"/>
        </w:rPr>
        <w:t xml:space="preserve"> კარადაში/სათავსოში, ადვილად მისადგომ და კარგად განათებულ ადგილზე</w:t>
      </w:r>
      <w:r w:rsidR="00F37A4C">
        <w:rPr>
          <w:rFonts w:ascii="Sylfaen" w:hAnsi="Sylfaen" w:cstheme="minorHAnsi"/>
          <w:sz w:val="20"/>
          <w:szCs w:val="20"/>
          <w:lang w:val="ka-GE"/>
        </w:rPr>
        <w:t>;</w:t>
      </w:r>
    </w:p>
    <w:p w14:paraId="38FF745A" w14:textId="45CC82C5"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ელექტროენერგიის მრიცხველებს</w:t>
      </w:r>
      <w:r w:rsidR="00F37A4C">
        <w:rPr>
          <w:rFonts w:ascii="Sylfaen" w:hAnsi="Sylfaen" w:cstheme="minorHAnsi"/>
          <w:sz w:val="20"/>
          <w:szCs w:val="20"/>
          <w:lang w:val="ka-GE"/>
        </w:rPr>
        <w:t xml:space="preserve"> უნდა გააჩნდეთ </w:t>
      </w:r>
      <w:r w:rsidRPr="006C23BC">
        <w:rPr>
          <w:rFonts w:ascii="Sylfaen" w:hAnsi="Sylfaen" w:cstheme="minorHAnsi"/>
          <w:sz w:val="20"/>
          <w:szCs w:val="20"/>
          <w:lang w:val="ka-GE"/>
        </w:rPr>
        <w:t>დალუქვის საშუალება</w:t>
      </w:r>
      <w:r w:rsidR="00F37A4C">
        <w:rPr>
          <w:rFonts w:ascii="Sylfaen" w:hAnsi="Sylfaen" w:cstheme="minorHAnsi"/>
          <w:sz w:val="20"/>
          <w:szCs w:val="20"/>
          <w:lang w:val="ka-GE"/>
        </w:rPr>
        <w:t>;</w:t>
      </w:r>
    </w:p>
    <w:p w14:paraId="3B1F6C13" w14:textId="325FBCB2"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მცველების მომჭერებს</w:t>
      </w:r>
      <w:r w:rsidR="00F37A4C">
        <w:rPr>
          <w:rFonts w:ascii="Sylfaen" w:hAnsi="Sylfaen" w:cstheme="minorHAnsi"/>
          <w:sz w:val="20"/>
          <w:szCs w:val="20"/>
          <w:lang w:val="ka-GE"/>
        </w:rPr>
        <w:t>,</w:t>
      </w:r>
      <w:r w:rsidRPr="006C23BC">
        <w:rPr>
          <w:rFonts w:ascii="Sylfaen" w:hAnsi="Sylfaen" w:cstheme="minorHAnsi"/>
          <w:sz w:val="20"/>
          <w:szCs w:val="20"/>
          <w:lang w:val="ka-GE"/>
        </w:rPr>
        <w:t xml:space="preserve"> რომლებმაც შესაძლებელია გავლენა იქონიონ ელექტროენერგიის აღრიცხვაზე, </w:t>
      </w:r>
      <w:r w:rsidR="00F37A4C">
        <w:rPr>
          <w:rFonts w:ascii="Sylfaen" w:hAnsi="Sylfaen" w:cstheme="minorHAnsi"/>
          <w:sz w:val="20"/>
          <w:szCs w:val="20"/>
          <w:lang w:val="ka-GE"/>
        </w:rPr>
        <w:t>უნდა გააჩნდეს</w:t>
      </w:r>
      <w:r w:rsidRPr="006C23BC">
        <w:rPr>
          <w:rFonts w:ascii="Sylfaen" w:hAnsi="Sylfaen" w:cstheme="minorHAnsi"/>
          <w:sz w:val="20"/>
          <w:szCs w:val="20"/>
          <w:lang w:val="ka-GE"/>
        </w:rPr>
        <w:t xml:space="preserve"> დალუქვის საშუალება</w:t>
      </w:r>
      <w:r w:rsidR="00F37A4C">
        <w:rPr>
          <w:rFonts w:ascii="Sylfaen" w:hAnsi="Sylfaen" w:cstheme="minorHAnsi"/>
          <w:sz w:val="20"/>
          <w:szCs w:val="20"/>
          <w:lang w:val="ka-GE"/>
        </w:rPr>
        <w:t>;</w:t>
      </w:r>
    </w:p>
    <w:p w14:paraId="3F81E467" w14:textId="27BEA60C"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შუალედურ მომჭერთა ამკრებებს, რომლებმაც შესაძლებელია გავლენა იქონიონ ელექტროენერგიის აღრიცხვაზე, </w:t>
      </w:r>
      <w:r w:rsidR="005C7299">
        <w:rPr>
          <w:rFonts w:ascii="Sylfaen" w:hAnsi="Sylfaen" w:cstheme="minorHAnsi"/>
          <w:sz w:val="20"/>
          <w:szCs w:val="20"/>
          <w:lang w:val="ka-GE"/>
        </w:rPr>
        <w:t>უნდა გააჩნდეთ</w:t>
      </w:r>
      <w:r w:rsidRPr="006C23BC">
        <w:rPr>
          <w:rFonts w:ascii="Sylfaen" w:hAnsi="Sylfaen" w:cstheme="minorHAnsi"/>
          <w:sz w:val="20"/>
          <w:szCs w:val="20"/>
          <w:lang w:val="ka-GE"/>
        </w:rPr>
        <w:t xml:space="preserve"> დალუქვის საშუალება</w:t>
      </w:r>
      <w:r w:rsidR="005C7299">
        <w:rPr>
          <w:rFonts w:ascii="Sylfaen" w:hAnsi="Sylfaen" w:cstheme="minorHAnsi"/>
          <w:sz w:val="20"/>
          <w:szCs w:val="20"/>
          <w:lang w:val="ka-GE"/>
        </w:rPr>
        <w:t>;</w:t>
      </w:r>
    </w:p>
    <w:p w14:paraId="7524128A" w14:textId="6E682AA8"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დენის მზომი ტრანსფორმატორების მეორად გამომყვანებს </w:t>
      </w:r>
      <w:r w:rsidR="005C7299">
        <w:rPr>
          <w:rFonts w:ascii="Sylfaen" w:hAnsi="Sylfaen" w:cstheme="minorHAnsi"/>
          <w:sz w:val="20"/>
          <w:szCs w:val="20"/>
          <w:lang w:val="ka-GE"/>
        </w:rPr>
        <w:t>უნდა გააჩნდეთ</w:t>
      </w:r>
      <w:r w:rsidRPr="006C23BC">
        <w:rPr>
          <w:rFonts w:ascii="Sylfaen" w:hAnsi="Sylfaen" w:cstheme="minorHAnsi"/>
          <w:sz w:val="20"/>
          <w:szCs w:val="20"/>
          <w:lang w:val="ka-GE"/>
        </w:rPr>
        <w:t xml:space="preserve"> დალუქვის საშუალება</w:t>
      </w:r>
      <w:r w:rsidR="005C7299">
        <w:rPr>
          <w:rFonts w:ascii="Sylfaen" w:hAnsi="Sylfaen" w:cstheme="minorHAnsi"/>
          <w:sz w:val="20"/>
          <w:szCs w:val="20"/>
          <w:lang w:val="ka-GE"/>
        </w:rPr>
        <w:t>;</w:t>
      </w:r>
    </w:p>
    <w:p w14:paraId="03E83125" w14:textId="6179A94D"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ძაბვის მზომი ტრანსფორმატორების მეორად გამომყვანებს</w:t>
      </w:r>
      <w:r w:rsidR="00E92E00">
        <w:rPr>
          <w:rFonts w:ascii="Sylfaen" w:hAnsi="Sylfaen" w:cstheme="minorHAnsi"/>
          <w:sz w:val="20"/>
          <w:szCs w:val="20"/>
          <w:lang w:val="ka-GE"/>
        </w:rPr>
        <w:t xml:space="preserve"> უნდა </w:t>
      </w:r>
      <w:r w:rsidRPr="006C23BC">
        <w:rPr>
          <w:rFonts w:ascii="Sylfaen" w:hAnsi="Sylfaen" w:cstheme="minorHAnsi"/>
          <w:sz w:val="20"/>
          <w:szCs w:val="20"/>
          <w:lang w:val="ka-GE"/>
        </w:rPr>
        <w:t xml:space="preserve"> </w:t>
      </w:r>
      <w:r w:rsidR="00E92E00">
        <w:rPr>
          <w:rFonts w:ascii="Sylfaen" w:hAnsi="Sylfaen" w:cstheme="minorHAnsi"/>
          <w:sz w:val="20"/>
          <w:szCs w:val="20"/>
          <w:lang w:val="ka-GE"/>
        </w:rPr>
        <w:t>გააჩნდეთ</w:t>
      </w:r>
      <w:r w:rsidRPr="006C23BC">
        <w:rPr>
          <w:rFonts w:ascii="Sylfaen" w:hAnsi="Sylfaen" w:cstheme="minorHAnsi"/>
          <w:sz w:val="20"/>
          <w:szCs w:val="20"/>
          <w:lang w:val="ka-GE"/>
        </w:rPr>
        <w:t xml:space="preserve"> დალუქვის საშუალება</w:t>
      </w:r>
      <w:r w:rsidR="00E92E00">
        <w:rPr>
          <w:rFonts w:ascii="Sylfaen" w:hAnsi="Sylfaen" w:cstheme="minorHAnsi"/>
          <w:sz w:val="20"/>
          <w:szCs w:val="20"/>
          <w:lang w:val="ka-GE"/>
        </w:rPr>
        <w:t>;</w:t>
      </w:r>
    </w:p>
    <w:p w14:paraId="7DB21967" w14:textId="773D741F"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მრიცხველების კარადების/სათავსოების მახასიათებლები </w:t>
      </w:r>
      <w:r w:rsidR="00E92E00">
        <w:rPr>
          <w:rFonts w:ascii="Sylfaen" w:hAnsi="Sylfaen" w:cstheme="minorHAnsi"/>
          <w:sz w:val="20"/>
          <w:szCs w:val="20"/>
          <w:lang w:val="ka-GE"/>
        </w:rPr>
        <w:t>შესაბამისობაში უნდა იყოს</w:t>
      </w:r>
      <w:r w:rsidRPr="006C23BC">
        <w:rPr>
          <w:rFonts w:ascii="Sylfaen" w:hAnsi="Sylfaen" w:cstheme="minorHAnsi"/>
          <w:sz w:val="20"/>
          <w:szCs w:val="20"/>
          <w:lang w:val="ka-GE"/>
        </w:rPr>
        <w:t xml:space="preserve"> მრიცხველების </w:t>
      </w:r>
      <w:r w:rsidR="00E92E00">
        <w:rPr>
          <w:rFonts w:ascii="Sylfaen" w:hAnsi="Sylfaen" w:cstheme="minorHAnsi"/>
          <w:sz w:val="20"/>
          <w:szCs w:val="20"/>
          <w:lang w:val="ka-GE"/>
        </w:rPr>
        <w:t xml:space="preserve">მწარმოებლის </w:t>
      </w:r>
      <w:r w:rsidRPr="006C23BC">
        <w:rPr>
          <w:rFonts w:ascii="Sylfaen" w:hAnsi="Sylfaen" w:cstheme="minorHAnsi"/>
          <w:sz w:val="20"/>
          <w:szCs w:val="20"/>
          <w:lang w:val="ka-GE"/>
        </w:rPr>
        <w:t xml:space="preserve">მიერ მითითებულ </w:t>
      </w:r>
      <w:r w:rsidR="00E92E00">
        <w:rPr>
          <w:rFonts w:ascii="Sylfaen" w:hAnsi="Sylfaen" w:cstheme="minorHAnsi"/>
          <w:sz w:val="20"/>
          <w:szCs w:val="20"/>
          <w:lang w:val="ka-GE"/>
        </w:rPr>
        <w:t>პარამეტრებთან</w:t>
      </w:r>
      <w:r w:rsidRPr="006C23BC">
        <w:rPr>
          <w:rFonts w:ascii="Sylfaen" w:hAnsi="Sylfaen" w:cstheme="minorHAnsi"/>
          <w:sz w:val="20"/>
          <w:szCs w:val="20"/>
          <w:lang w:val="ka-GE"/>
        </w:rPr>
        <w:t xml:space="preserve">, </w:t>
      </w:r>
      <w:r w:rsidR="00E92E00">
        <w:rPr>
          <w:rFonts w:ascii="Sylfaen" w:hAnsi="Sylfaen" w:cstheme="minorHAnsi"/>
          <w:sz w:val="20"/>
          <w:szCs w:val="20"/>
          <w:lang w:val="ka-GE"/>
        </w:rPr>
        <w:t>ამასთან უნდა უზრუნველყოფდეს</w:t>
      </w:r>
      <w:r w:rsidRPr="006C23BC">
        <w:rPr>
          <w:rFonts w:ascii="Sylfaen" w:hAnsi="Sylfaen" w:cstheme="minorHAnsi"/>
          <w:sz w:val="20"/>
          <w:szCs w:val="20"/>
          <w:lang w:val="ka-GE"/>
        </w:rPr>
        <w:t xml:space="preserve"> </w:t>
      </w:r>
      <w:r w:rsidR="00E92E00">
        <w:rPr>
          <w:rFonts w:ascii="Sylfaen" w:hAnsi="Sylfaen" w:cstheme="minorHAnsi"/>
          <w:sz w:val="20"/>
          <w:szCs w:val="20"/>
          <w:lang w:val="ka-GE"/>
        </w:rPr>
        <w:t>მრიცხველების</w:t>
      </w:r>
      <w:r w:rsidRPr="006C23BC">
        <w:rPr>
          <w:rFonts w:ascii="Sylfaen" w:hAnsi="Sylfaen" w:cstheme="minorHAnsi"/>
          <w:sz w:val="20"/>
          <w:szCs w:val="20"/>
          <w:lang w:val="ka-GE"/>
        </w:rPr>
        <w:t xml:space="preserve"> დაცვას დაზიანების, ტემპერატურული რეჟიმის დარღვევის, ტენიანობის, მტვრისა და სხვა არასასურველი ეფექტებისგან</w:t>
      </w:r>
      <w:r w:rsidR="008A2281">
        <w:rPr>
          <w:rFonts w:ascii="Sylfaen" w:hAnsi="Sylfaen" w:cstheme="minorHAnsi"/>
          <w:sz w:val="20"/>
          <w:szCs w:val="20"/>
          <w:lang w:val="ka-GE"/>
        </w:rPr>
        <w:t>;</w:t>
      </w:r>
    </w:p>
    <w:p w14:paraId="348570C4" w14:textId="55CECC54"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მრიცხველების კარადები და მათში შემავალი კაბელების ეკრანები </w:t>
      </w:r>
      <w:r w:rsidR="008A2281">
        <w:rPr>
          <w:rFonts w:ascii="Sylfaen" w:hAnsi="Sylfaen" w:cstheme="minorHAnsi"/>
          <w:sz w:val="20"/>
          <w:szCs w:val="20"/>
          <w:lang w:val="ka-GE"/>
        </w:rPr>
        <w:t>უნდა იყოს დამიწებული;</w:t>
      </w:r>
    </w:p>
    <w:p w14:paraId="7E43DBDA" w14:textId="49AB1402"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მრიცხველების კარადას/სათავსოს</w:t>
      </w:r>
      <w:r w:rsidR="008A2281">
        <w:rPr>
          <w:rFonts w:ascii="Sylfaen" w:hAnsi="Sylfaen" w:cstheme="minorHAnsi"/>
          <w:sz w:val="20"/>
          <w:szCs w:val="20"/>
          <w:lang w:val="ka-GE"/>
        </w:rPr>
        <w:t xml:space="preserve"> უნდა გააჩნდეს</w:t>
      </w:r>
      <w:r w:rsidRPr="006C23BC">
        <w:rPr>
          <w:rFonts w:ascii="Sylfaen" w:hAnsi="Sylfaen" w:cstheme="minorHAnsi"/>
          <w:sz w:val="20"/>
          <w:szCs w:val="20"/>
          <w:lang w:val="ka-GE"/>
        </w:rPr>
        <w:t xml:space="preserve"> საკეტი</w:t>
      </w:r>
      <w:r w:rsidR="008A2281">
        <w:rPr>
          <w:rFonts w:ascii="Sylfaen" w:hAnsi="Sylfaen" w:cstheme="minorHAnsi"/>
          <w:sz w:val="20"/>
          <w:szCs w:val="20"/>
          <w:lang w:val="ka-GE"/>
        </w:rPr>
        <w:t>;</w:t>
      </w:r>
    </w:p>
    <w:p w14:paraId="0C56336F" w14:textId="3374BDCA"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მრიცხველების კარადის წინა ნაწილი </w:t>
      </w:r>
      <w:r w:rsidR="0013249B">
        <w:rPr>
          <w:rFonts w:ascii="Sylfaen" w:hAnsi="Sylfaen" w:cstheme="minorHAnsi"/>
          <w:sz w:val="20"/>
          <w:szCs w:val="20"/>
          <w:lang w:val="ka-GE"/>
        </w:rPr>
        <w:t>უნდა იყოს გამჭვირვალე;</w:t>
      </w:r>
    </w:p>
    <w:p w14:paraId="61FFD8E7" w14:textId="319044CC"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ძაბვის მეორადი წრედების მონტაჟის დროს </w:t>
      </w:r>
      <w:r w:rsidR="005F5CBD">
        <w:rPr>
          <w:rFonts w:ascii="Sylfaen" w:hAnsi="Sylfaen" w:cstheme="minorHAnsi"/>
          <w:sz w:val="20"/>
          <w:szCs w:val="20"/>
          <w:lang w:val="ka-GE"/>
        </w:rPr>
        <w:t xml:space="preserve">გამოყენებული უნდა იყოს </w:t>
      </w:r>
      <w:r w:rsidRPr="006C23BC">
        <w:rPr>
          <w:rFonts w:ascii="Sylfaen" w:hAnsi="Sylfaen" w:cstheme="minorHAnsi"/>
          <w:sz w:val="20"/>
          <w:szCs w:val="20"/>
          <w:lang w:val="ka-GE"/>
        </w:rPr>
        <w:t xml:space="preserve">კაბელები ფერადი იზოლაციის მქონე სადენებით, თითო წვერში სხვა ფერებთან კომბინაციის გარეშე, გარდა </w:t>
      </w:r>
      <w:r w:rsidRPr="006C23BC">
        <w:rPr>
          <w:rFonts w:ascii="Sylfaen" w:hAnsi="Sylfaen" w:cstheme="minorHAnsi"/>
          <w:sz w:val="20"/>
          <w:szCs w:val="20"/>
          <w:lang w:val="ka-GE"/>
        </w:rPr>
        <w:lastRenderedPageBreak/>
        <w:t>ნულოვანი სადენისა</w:t>
      </w:r>
      <w:r w:rsidR="005F5CBD">
        <w:rPr>
          <w:rFonts w:ascii="Sylfaen" w:hAnsi="Sylfaen" w:cstheme="minorHAnsi"/>
          <w:sz w:val="20"/>
          <w:szCs w:val="20"/>
          <w:lang w:val="ka-GE"/>
        </w:rPr>
        <w:t>;</w:t>
      </w:r>
    </w:p>
    <w:p w14:paraId="2F30FCDF" w14:textId="5637FC48" w:rsidR="006C23BC" w:rsidRPr="006C23BC" w:rsidRDefault="006C23BC" w:rsidP="00CA5DF5">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ელექტროენერგიის მრიცხველები, აღრიცხვის საკომუნიკაციო მოწყობილობები და წრედები </w:t>
      </w:r>
      <w:r w:rsidR="005F5CBD">
        <w:rPr>
          <w:rFonts w:ascii="Sylfaen" w:hAnsi="Sylfaen" w:cstheme="minorHAnsi"/>
          <w:sz w:val="20"/>
          <w:szCs w:val="20"/>
          <w:lang w:val="ka-GE"/>
        </w:rPr>
        <w:t>აღჭურვილი უნდა იყოს</w:t>
      </w:r>
      <w:r w:rsidRPr="006C23BC">
        <w:rPr>
          <w:rFonts w:ascii="Sylfaen" w:hAnsi="Sylfaen" w:cstheme="minorHAnsi"/>
          <w:sz w:val="20"/>
          <w:szCs w:val="20"/>
          <w:lang w:val="ka-GE"/>
        </w:rPr>
        <w:t xml:space="preserve"> უწყვეტი ალტერნატიული და სტაბილური კვების წყაროთი (რომელიც გარკვეული დროის მანძილზე, მაგრამ არანაკლებ 1.5 საათისა, შეუნარჩუნებს მრიცხველებსა და აღრიცხვის საკომუნიკაციო მოწყობილობებს კვებას და უზრუნველყოფს მრიცხველიდან მონაცემების მიღებას). ის მრიცხველები, რომელთაც არ გააჩნიათ ალტერნატიული კვების წყაროს მიმღები მომჭერები, უნდა შეიცვალოს შესაბამისი ფუნქციის მქონე მრიცხველებით. </w:t>
      </w:r>
    </w:p>
    <w:p w14:paraId="0561C085" w14:textId="2A80E167" w:rsidR="006C23BC" w:rsidRPr="006C23BC" w:rsidRDefault="006C23BC" w:rsidP="00CA5DF5">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აღრიცხვაში </w:t>
      </w:r>
      <w:r w:rsidR="005F5CBD">
        <w:rPr>
          <w:rFonts w:ascii="Sylfaen" w:hAnsi="Sylfaen" w:cstheme="minorHAnsi"/>
          <w:sz w:val="20"/>
          <w:szCs w:val="20"/>
          <w:lang w:val="ka-GE"/>
        </w:rPr>
        <w:t>გამოყენებული უნდა იყოს</w:t>
      </w:r>
      <w:r w:rsidRPr="006C23BC">
        <w:rPr>
          <w:rFonts w:ascii="Sylfaen" w:hAnsi="Sylfaen" w:cstheme="minorHAnsi"/>
          <w:sz w:val="20"/>
          <w:szCs w:val="20"/>
          <w:lang w:val="ka-GE"/>
        </w:rPr>
        <w:t xml:space="preserve"> სამფაზა ძაბვის ტრანსფორმატორები</w:t>
      </w:r>
      <w:r w:rsidR="005F5CBD">
        <w:rPr>
          <w:rFonts w:ascii="Sylfaen" w:hAnsi="Sylfaen" w:cstheme="minorHAnsi"/>
          <w:sz w:val="20"/>
          <w:szCs w:val="20"/>
          <w:lang w:val="ka-GE"/>
        </w:rPr>
        <w:t>;</w:t>
      </w:r>
    </w:p>
    <w:p w14:paraId="12236910" w14:textId="5673A12D" w:rsidR="006C23BC" w:rsidRPr="002105DC" w:rsidRDefault="006C23BC" w:rsidP="006C23BC">
      <w:pPr>
        <w:pStyle w:val="ListParagraph"/>
        <w:numPr>
          <w:ilvl w:val="0"/>
          <w:numId w:val="14"/>
        </w:numPr>
        <w:spacing w:line="360" w:lineRule="auto"/>
        <w:jc w:val="both"/>
        <w:rPr>
          <w:rFonts w:ascii="Sylfaen" w:hAnsi="Sylfaen" w:cstheme="minorHAnsi"/>
          <w:sz w:val="20"/>
          <w:szCs w:val="20"/>
          <w:lang w:val="ka-GE"/>
        </w:rPr>
      </w:pPr>
      <w:r w:rsidRPr="002105DC">
        <w:rPr>
          <w:rFonts w:ascii="Sylfaen" w:hAnsi="Sylfaen" w:cstheme="minorHAnsi"/>
          <w:sz w:val="20"/>
          <w:szCs w:val="20"/>
          <w:lang w:val="ka-GE"/>
        </w:rPr>
        <w:t xml:space="preserve">დადგმის ადგილისა და მეთოდის შერჩევისას </w:t>
      </w:r>
      <w:r w:rsidR="00A5272A" w:rsidRPr="002105DC">
        <w:rPr>
          <w:rFonts w:ascii="Sylfaen" w:hAnsi="Sylfaen" w:cstheme="minorHAnsi"/>
          <w:sz w:val="20"/>
          <w:szCs w:val="20"/>
          <w:lang w:val="ka-GE"/>
        </w:rPr>
        <w:t>გათვალისწინებული უნდა იქნას</w:t>
      </w:r>
      <w:r w:rsidRPr="002105DC">
        <w:rPr>
          <w:rFonts w:ascii="Sylfaen" w:hAnsi="Sylfaen" w:cstheme="minorHAnsi"/>
          <w:sz w:val="20"/>
          <w:szCs w:val="20"/>
          <w:lang w:val="ka-GE"/>
        </w:rPr>
        <w:t xml:space="preserve"> დენის და ძაბვის ტრანსფორმატორების ფირნიშიდან ყველა მონაცემის ვიზუალური წაკითხვის შესაძლებლობა, მოწყობილობის გამორთვის ან დემონტაჟის სამუშაოების განხორციელების გარეშე. </w:t>
      </w:r>
      <w:r w:rsidR="00A5272A" w:rsidRPr="002105DC">
        <w:rPr>
          <w:rFonts w:ascii="Sylfaen" w:hAnsi="Sylfaen" w:cstheme="minorHAnsi"/>
          <w:sz w:val="20"/>
          <w:szCs w:val="20"/>
          <w:lang w:val="ka-GE"/>
        </w:rPr>
        <w:t xml:space="preserve">სხვა შემთხვევაში, </w:t>
      </w:r>
      <w:r w:rsidRPr="002105DC">
        <w:rPr>
          <w:rFonts w:ascii="Sylfaen" w:hAnsi="Sylfaen" w:cstheme="minorHAnsi"/>
          <w:sz w:val="20"/>
          <w:szCs w:val="20"/>
          <w:lang w:val="ka-GE"/>
        </w:rPr>
        <w:t>დასაშვებია ფირნიშის მონაცემების გამოტანა ხილულ ადგილზე</w:t>
      </w:r>
      <w:r w:rsidR="005F698C" w:rsidRPr="002105DC">
        <w:rPr>
          <w:rFonts w:ascii="Sylfaen" w:hAnsi="Sylfaen" w:cstheme="minorHAnsi"/>
          <w:sz w:val="20"/>
          <w:szCs w:val="20"/>
          <w:lang w:val="ka-GE"/>
        </w:rPr>
        <w:t>;</w:t>
      </w:r>
    </w:p>
    <w:p w14:paraId="73824DDF" w14:textId="7D1013BA"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ძაბვის ტრანსფორმატორების გამთიშველების ამძრავების სახელურებზე </w:t>
      </w:r>
      <w:r w:rsidR="005A69DF">
        <w:rPr>
          <w:rFonts w:ascii="Sylfaen" w:hAnsi="Sylfaen" w:cstheme="minorHAnsi"/>
          <w:sz w:val="20"/>
          <w:szCs w:val="20"/>
          <w:lang w:val="ka-GE"/>
        </w:rPr>
        <w:t>გათვალისწინებული უნდა იქნას</w:t>
      </w:r>
      <w:r w:rsidRPr="006C23BC">
        <w:rPr>
          <w:rFonts w:ascii="Sylfaen" w:hAnsi="Sylfaen" w:cstheme="minorHAnsi"/>
          <w:sz w:val="20"/>
          <w:szCs w:val="20"/>
          <w:lang w:val="ka-GE"/>
        </w:rPr>
        <w:t xml:space="preserve"> დალუქვის შესაძლებლობა</w:t>
      </w:r>
      <w:r w:rsidR="005F698C">
        <w:rPr>
          <w:rFonts w:ascii="Sylfaen" w:hAnsi="Sylfaen" w:cstheme="minorHAnsi"/>
          <w:sz w:val="20"/>
          <w:szCs w:val="20"/>
          <w:lang w:val="ka-GE"/>
        </w:rPr>
        <w:t>;</w:t>
      </w:r>
    </w:p>
    <w:p w14:paraId="68F253A7" w14:textId="58670214"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მეორადი ძაბვის წრედი </w:t>
      </w:r>
      <w:r w:rsidR="005F698C">
        <w:rPr>
          <w:rFonts w:ascii="Sylfaen" w:hAnsi="Sylfaen" w:cstheme="minorHAnsi"/>
          <w:sz w:val="20"/>
          <w:szCs w:val="20"/>
          <w:lang w:val="ka-GE"/>
        </w:rPr>
        <w:t xml:space="preserve">განმხოლოებული </w:t>
      </w:r>
      <w:r w:rsidRPr="006C23BC">
        <w:rPr>
          <w:rFonts w:ascii="Sylfaen" w:hAnsi="Sylfaen" w:cstheme="minorHAnsi"/>
          <w:sz w:val="20"/>
          <w:szCs w:val="20"/>
          <w:lang w:val="ka-GE"/>
        </w:rPr>
        <w:t xml:space="preserve">და </w:t>
      </w:r>
      <w:r w:rsidR="005F698C">
        <w:rPr>
          <w:rFonts w:ascii="Sylfaen" w:hAnsi="Sylfaen" w:cstheme="minorHAnsi"/>
          <w:sz w:val="20"/>
          <w:szCs w:val="20"/>
          <w:lang w:val="ka-GE"/>
        </w:rPr>
        <w:t xml:space="preserve">მიერთებული უნდა იქნას </w:t>
      </w:r>
      <w:r w:rsidRPr="006C23BC">
        <w:rPr>
          <w:rFonts w:ascii="Sylfaen" w:hAnsi="Sylfaen" w:cstheme="minorHAnsi"/>
          <w:sz w:val="20"/>
          <w:szCs w:val="20"/>
          <w:lang w:val="ka-GE"/>
        </w:rPr>
        <w:t>მხოლოდ მრიცხველზე</w:t>
      </w:r>
      <w:r w:rsidR="005F698C">
        <w:rPr>
          <w:rFonts w:ascii="Sylfaen" w:hAnsi="Sylfaen" w:cstheme="minorHAnsi"/>
          <w:sz w:val="20"/>
          <w:szCs w:val="20"/>
          <w:lang w:val="ka-GE"/>
        </w:rPr>
        <w:t>;</w:t>
      </w:r>
    </w:p>
    <w:p w14:paraId="33802062" w14:textId="0AF7216D"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ძაბვის წრედების მომჭერები </w:t>
      </w:r>
      <w:r w:rsidR="005F698C">
        <w:rPr>
          <w:rFonts w:ascii="Sylfaen" w:hAnsi="Sylfaen" w:cstheme="minorHAnsi"/>
          <w:sz w:val="20"/>
          <w:szCs w:val="20"/>
          <w:lang w:val="ka-GE"/>
        </w:rPr>
        <w:t>მოწყობილი უნდა იქნეს ისე</w:t>
      </w:r>
      <w:r w:rsidRPr="006C23BC">
        <w:rPr>
          <w:rFonts w:ascii="Sylfaen" w:hAnsi="Sylfaen" w:cstheme="minorHAnsi"/>
          <w:sz w:val="20"/>
          <w:szCs w:val="20"/>
          <w:lang w:val="ka-GE"/>
        </w:rPr>
        <w:t xml:space="preserve">, რომ </w:t>
      </w:r>
      <w:r w:rsidR="005F698C">
        <w:rPr>
          <w:rFonts w:ascii="Sylfaen" w:hAnsi="Sylfaen" w:cstheme="minorHAnsi"/>
          <w:sz w:val="20"/>
          <w:szCs w:val="20"/>
          <w:lang w:val="ka-GE"/>
        </w:rPr>
        <w:t xml:space="preserve">შესაძლებელი იყოს </w:t>
      </w:r>
      <w:r w:rsidRPr="006C23BC">
        <w:rPr>
          <w:rFonts w:ascii="Sylfaen" w:hAnsi="Sylfaen" w:cstheme="minorHAnsi"/>
          <w:sz w:val="20"/>
          <w:szCs w:val="20"/>
          <w:lang w:val="ka-GE"/>
        </w:rPr>
        <w:t>ძაბვის წრედების გათიშვა თითოეულ ფაზაზე მრიცხველების შეცვლის</w:t>
      </w:r>
      <w:r w:rsidR="005F698C">
        <w:rPr>
          <w:rFonts w:ascii="Sylfaen" w:hAnsi="Sylfaen" w:cstheme="minorHAnsi"/>
          <w:sz w:val="20"/>
          <w:szCs w:val="20"/>
          <w:lang w:val="ka-GE"/>
        </w:rPr>
        <w:t>ას</w:t>
      </w:r>
      <w:r w:rsidRPr="006C23BC">
        <w:rPr>
          <w:rFonts w:ascii="Sylfaen" w:hAnsi="Sylfaen" w:cstheme="minorHAnsi"/>
          <w:sz w:val="20"/>
          <w:szCs w:val="20"/>
          <w:lang w:val="ka-GE"/>
        </w:rPr>
        <w:t xml:space="preserve">, სქემის გასწორებისა და შემოწმების დროს, აგრეთვე </w:t>
      </w:r>
      <w:r w:rsidR="005F698C">
        <w:rPr>
          <w:rFonts w:ascii="Sylfaen" w:hAnsi="Sylfaen" w:cstheme="minorHAnsi"/>
          <w:sz w:val="20"/>
          <w:szCs w:val="20"/>
          <w:lang w:val="ka-GE"/>
        </w:rPr>
        <w:t xml:space="preserve"> შესაძლებელი იყოს </w:t>
      </w:r>
      <w:r w:rsidRPr="006C23BC">
        <w:rPr>
          <w:rFonts w:ascii="Sylfaen" w:hAnsi="Sylfaen" w:cstheme="minorHAnsi"/>
          <w:sz w:val="20"/>
          <w:szCs w:val="20"/>
          <w:lang w:val="ka-GE"/>
        </w:rPr>
        <w:t>ეტალონური მრიცხველის მიერთება კაბელებისა და გამომყვანების გათიშვის გარეშე</w:t>
      </w:r>
      <w:r w:rsidR="00AB7D40">
        <w:rPr>
          <w:rFonts w:ascii="Sylfaen" w:hAnsi="Sylfaen" w:cstheme="minorHAnsi"/>
          <w:sz w:val="20"/>
          <w:szCs w:val="20"/>
          <w:lang w:val="ka-GE"/>
        </w:rPr>
        <w:t>;</w:t>
      </w:r>
    </w:p>
    <w:p w14:paraId="55672CF6" w14:textId="702EE7EE"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მეორადი დენური კაბელის ეკრანი ყრუდ</w:t>
      </w:r>
      <w:r w:rsidR="00AB7D40">
        <w:rPr>
          <w:rFonts w:ascii="Sylfaen" w:hAnsi="Sylfaen" w:cstheme="minorHAnsi"/>
          <w:sz w:val="20"/>
          <w:szCs w:val="20"/>
          <w:lang w:val="ka-GE"/>
        </w:rPr>
        <w:t xml:space="preserve"> უნდა იყოს</w:t>
      </w:r>
      <w:r w:rsidRPr="006C23BC">
        <w:rPr>
          <w:rFonts w:ascii="Sylfaen" w:hAnsi="Sylfaen" w:cstheme="minorHAnsi"/>
          <w:sz w:val="20"/>
          <w:szCs w:val="20"/>
          <w:lang w:val="ka-GE"/>
        </w:rPr>
        <w:t xml:space="preserve"> დამიწებული ერთ ადგილზე</w:t>
      </w:r>
      <w:r w:rsidR="00AB7D40">
        <w:rPr>
          <w:rFonts w:ascii="Sylfaen" w:hAnsi="Sylfaen" w:cstheme="minorHAnsi"/>
          <w:sz w:val="20"/>
          <w:szCs w:val="20"/>
          <w:lang w:val="ka-GE"/>
        </w:rPr>
        <w:t>;</w:t>
      </w:r>
    </w:p>
    <w:p w14:paraId="7234BFA4" w14:textId="4C270627"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დენის მზომი ტრანსფორმატორების ელექტროენერგიის აღრიცხვის მიზნებისთვის გამოყენებული გრაგნილები და მრიცხველებთან მათი დამაკავშირებელი წრედები </w:t>
      </w:r>
      <w:r w:rsidR="00023C99">
        <w:rPr>
          <w:rFonts w:ascii="Sylfaen" w:hAnsi="Sylfaen" w:cstheme="minorHAnsi"/>
          <w:sz w:val="20"/>
          <w:szCs w:val="20"/>
          <w:lang w:val="ka-GE"/>
        </w:rPr>
        <w:t xml:space="preserve">უნდა მოემსახუროს </w:t>
      </w:r>
      <w:r w:rsidRPr="006C23BC">
        <w:rPr>
          <w:rFonts w:ascii="Sylfaen" w:hAnsi="Sylfaen" w:cstheme="minorHAnsi"/>
          <w:sz w:val="20"/>
          <w:szCs w:val="20"/>
          <w:lang w:val="ka-GE"/>
        </w:rPr>
        <w:t xml:space="preserve">მხოლოდ აღრიცხვის მიზანს. </w:t>
      </w:r>
    </w:p>
    <w:p w14:paraId="6CA8F475" w14:textId="696A519E"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აღრიცხვაში გამოყენებული დენის </w:t>
      </w:r>
      <w:r w:rsidR="00023C99">
        <w:rPr>
          <w:rFonts w:ascii="Sylfaen" w:hAnsi="Sylfaen" w:cstheme="minorHAnsi"/>
          <w:sz w:val="20"/>
          <w:szCs w:val="20"/>
          <w:lang w:val="ka-GE"/>
        </w:rPr>
        <w:t>წრედების</w:t>
      </w:r>
      <w:r w:rsidRPr="006C23BC">
        <w:rPr>
          <w:rFonts w:ascii="Sylfaen" w:hAnsi="Sylfaen" w:cstheme="minorHAnsi"/>
          <w:sz w:val="20"/>
          <w:szCs w:val="20"/>
          <w:lang w:val="ka-GE"/>
        </w:rPr>
        <w:t xml:space="preserve"> მომჭერები </w:t>
      </w:r>
      <w:r w:rsidR="00023C99">
        <w:rPr>
          <w:rFonts w:ascii="Sylfaen" w:hAnsi="Sylfaen" w:cstheme="minorHAnsi"/>
          <w:sz w:val="20"/>
          <w:szCs w:val="20"/>
          <w:lang w:val="ka-GE"/>
        </w:rPr>
        <w:t>მოწყობილი უნდა იყოს ისე</w:t>
      </w:r>
      <w:r w:rsidRPr="006C23BC">
        <w:rPr>
          <w:rFonts w:ascii="Sylfaen" w:hAnsi="Sylfaen" w:cstheme="minorHAnsi"/>
          <w:sz w:val="20"/>
          <w:szCs w:val="20"/>
          <w:lang w:val="ka-GE"/>
        </w:rPr>
        <w:t xml:space="preserve">, რომ </w:t>
      </w:r>
      <w:r w:rsidR="00023C99">
        <w:rPr>
          <w:rFonts w:ascii="Sylfaen" w:hAnsi="Sylfaen" w:cstheme="minorHAnsi"/>
          <w:sz w:val="20"/>
          <w:szCs w:val="20"/>
          <w:lang w:val="ka-GE"/>
        </w:rPr>
        <w:t xml:space="preserve">შესაძლებელი იყოს </w:t>
      </w:r>
      <w:r w:rsidRPr="006C23BC">
        <w:rPr>
          <w:rFonts w:ascii="Sylfaen" w:hAnsi="Sylfaen" w:cstheme="minorHAnsi"/>
          <w:sz w:val="20"/>
          <w:szCs w:val="20"/>
          <w:lang w:val="ka-GE"/>
        </w:rPr>
        <w:t>ტრანსფორმატორების მეორადი წრედების დამოკლება</w:t>
      </w:r>
      <w:r w:rsidR="00023C99">
        <w:rPr>
          <w:rFonts w:ascii="Sylfaen" w:hAnsi="Sylfaen" w:cstheme="minorHAnsi"/>
          <w:sz w:val="20"/>
          <w:szCs w:val="20"/>
          <w:lang w:val="ka-GE"/>
        </w:rPr>
        <w:t xml:space="preserve"> ან/და გათიშვა თითოეულ ფაზაზე მრიცხველების გამოცვლისას ან შემოწმებისას, აგრეთვე-ეტალონური მრიცხველის მიერთება კაბელებისა და გამომყვანების გათიშვის გარეშე.</w:t>
      </w:r>
    </w:p>
    <w:p w14:paraId="28B70C57" w14:textId="17D07900"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მრიცხველები </w:t>
      </w:r>
      <w:r w:rsidR="00023C99">
        <w:rPr>
          <w:rFonts w:ascii="Sylfaen" w:hAnsi="Sylfaen" w:cstheme="minorHAnsi"/>
          <w:sz w:val="20"/>
          <w:szCs w:val="20"/>
          <w:lang w:val="ka-GE"/>
        </w:rPr>
        <w:t xml:space="preserve">უნდა იყოს </w:t>
      </w:r>
      <w:r w:rsidRPr="006C23BC">
        <w:rPr>
          <w:rFonts w:ascii="Sylfaen" w:hAnsi="Sylfaen" w:cstheme="minorHAnsi"/>
          <w:sz w:val="20"/>
          <w:szCs w:val="20"/>
          <w:lang w:val="ka-GE"/>
        </w:rPr>
        <w:t>ელექტრონული და თავსებადი ესკაა სისტემასთან.</w:t>
      </w:r>
    </w:p>
    <w:p w14:paraId="1161255F" w14:textId="32A4CF15"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ელექტროენერგიის მრიცხველებს </w:t>
      </w:r>
      <w:r w:rsidR="00C43827">
        <w:rPr>
          <w:rFonts w:ascii="Sylfaen" w:hAnsi="Sylfaen" w:cstheme="minorHAnsi"/>
          <w:sz w:val="20"/>
          <w:szCs w:val="20"/>
          <w:lang w:val="ka-GE"/>
        </w:rPr>
        <w:t xml:space="preserve">უნდა გააჩნდეთ </w:t>
      </w:r>
      <w:r w:rsidRPr="006C23BC">
        <w:rPr>
          <w:rFonts w:ascii="Sylfaen" w:hAnsi="Sylfaen" w:cstheme="minorHAnsi"/>
          <w:sz w:val="20"/>
          <w:szCs w:val="20"/>
          <w:lang w:val="ka-GE"/>
        </w:rPr>
        <w:t>მონაცემთა ავტომატურ რეჟიმში გაცემის შესაძლებლობა</w:t>
      </w:r>
      <w:r w:rsidR="00C43827">
        <w:rPr>
          <w:rFonts w:ascii="Sylfaen" w:hAnsi="Sylfaen" w:cstheme="minorHAnsi"/>
          <w:sz w:val="20"/>
          <w:szCs w:val="20"/>
          <w:lang w:val="ka-GE"/>
        </w:rPr>
        <w:t>;</w:t>
      </w:r>
    </w:p>
    <w:p w14:paraId="56E37717" w14:textId="7DE84FC4"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lastRenderedPageBreak/>
        <w:t xml:space="preserve">აღრიცხვაში </w:t>
      </w:r>
      <w:r w:rsidR="00C43827">
        <w:rPr>
          <w:rFonts w:ascii="Sylfaen" w:hAnsi="Sylfaen" w:cstheme="minorHAnsi"/>
          <w:sz w:val="20"/>
          <w:szCs w:val="20"/>
          <w:lang w:val="ka-GE"/>
        </w:rPr>
        <w:t>გამოყენებული იქნება</w:t>
      </w:r>
      <w:r w:rsidRPr="006C23BC">
        <w:rPr>
          <w:rFonts w:ascii="Sylfaen" w:hAnsi="Sylfaen" w:cstheme="minorHAnsi"/>
          <w:sz w:val="20"/>
          <w:szCs w:val="20"/>
          <w:lang w:val="ka-GE"/>
        </w:rPr>
        <w:t xml:space="preserve"> ელექტრონული მრიცხველები</w:t>
      </w:r>
      <w:r w:rsidR="00C43827">
        <w:rPr>
          <w:rFonts w:ascii="Sylfaen" w:hAnsi="Sylfaen" w:cstheme="minorHAnsi"/>
          <w:sz w:val="20"/>
          <w:szCs w:val="20"/>
          <w:lang w:val="ka-GE"/>
        </w:rPr>
        <w:t>, რომლებიც</w:t>
      </w:r>
      <w:r w:rsidRPr="006C23BC">
        <w:rPr>
          <w:rFonts w:ascii="Sylfaen" w:hAnsi="Sylfaen" w:cstheme="minorHAnsi"/>
          <w:sz w:val="20"/>
          <w:szCs w:val="20"/>
          <w:lang w:val="ka-GE"/>
        </w:rPr>
        <w:t xml:space="preserve"> აღრიცხავს და ინდიკატორზე გამოაქვს აქტიური სიმძლავრის (კვტ), აქტიური ენერგიის (კვტ.სთ), რეაქტიული სიმძლავრისა (კვარ) და რეაქტიული ენერგიის (კვარ.სთ) მიმდინარე მნიშვნელობები</w:t>
      </w:r>
      <w:r w:rsidR="00C43827">
        <w:rPr>
          <w:rFonts w:ascii="Sylfaen" w:hAnsi="Sylfaen" w:cstheme="minorHAnsi"/>
          <w:sz w:val="20"/>
          <w:szCs w:val="20"/>
          <w:lang w:val="ka-GE"/>
        </w:rPr>
        <w:t>;</w:t>
      </w:r>
      <w:r w:rsidRPr="006C23BC">
        <w:rPr>
          <w:rFonts w:ascii="Sylfaen" w:hAnsi="Sylfaen" w:cstheme="minorHAnsi"/>
          <w:sz w:val="20"/>
          <w:szCs w:val="20"/>
          <w:lang w:val="ka-GE"/>
        </w:rPr>
        <w:t xml:space="preserve"> </w:t>
      </w:r>
    </w:p>
    <w:p w14:paraId="6F5C956E" w14:textId="26A58C94"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მრიცხველებს </w:t>
      </w:r>
      <w:r w:rsidR="00D80A03">
        <w:rPr>
          <w:rFonts w:ascii="Sylfaen" w:hAnsi="Sylfaen" w:cstheme="minorHAnsi"/>
          <w:sz w:val="20"/>
          <w:szCs w:val="20"/>
          <w:lang w:val="ka-GE"/>
        </w:rPr>
        <w:t>უნდა გააჩნდეთ</w:t>
      </w:r>
      <w:r w:rsidRPr="006C23BC">
        <w:rPr>
          <w:rFonts w:ascii="Sylfaen" w:hAnsi="Sylfaen" w:cstheme="minorHAnsi"/>
          <w:sz w:val="20"/>
          <w:szCs w:val="20"/>
          <w:lang w:val="ka-GE"/>
        </w:rPr>
        <w:t xml:space="preserve"> შესაძლებლობა, ცალ-ცალკე აღრიცხონ და აჩვენონ აქტიური და რეაქტიული ენერგიები როგორც მიღების, ასევე გაცემის რეჟიმში.</w:t>
      </w:r>
    </w:p>
    <w:p w14:paraId="4DDD8243" w14:textId="7F0FB766" w:rsid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მრიცხველებს </w:t>
      </w:r>
      <w:r w:rsidR="00D80A03">
        <w:rPr>
          <w:rFonts w:ascii="Sylfaen" w:hAnsi="Sylfaen" w:cstheme="minorHAnsi"/>
          <w:sz w:val="20"/>
          <w:szCs w:val="20"/>
          <w:lang w:val="ka-GE"/>
        </w:rPr>
        <w:t xml:space="preserve">უნდა გააჩნდეთ </w:t>
      </w:r>
      <w:r w:rsidRPr="006C23BC">
        <w:rPr>
          <w:rFonts w:ascii="Sylfaen" w:hAnsi="Sylfaen" w:cstheme="minorHAnsi"/>
          <w:sz w:val="20"/>
          <w:szCs w:val="20"/>
          <w:lang w:val="ka-GE"/>
        </w:rPr>
        <w:t>შესაძლებლობა შეინახონ ნახევარსაათიანი პერიოდების ჯამური მონაცემები, მინიმუმ 1 კალენდარული თვის განმავლობაში.</w:t>
      </w:r>
    </w:p>
    <w:p w14:paraId="18FBD1E6" w14:textId="453227FA" w:rsidR="00D80A03" w:rsidRDefault="00D80A03" w:rsidP="006C23BC">
      <w:pPr>
        <w:pStyle w:val="ListParagraph"/>
        <w:numPr>
          <w:ilvl w:val="0"/>
          <w:numId w:val="14"/>
        </w:numPr>
        <w:spacing w:line="360" w:lineRule="auto"/>
        <w:jc w:val="both"/>
        <w:rPr>
          <w:rFonts w:ascii="Sylfaen" w:hAnsi="Sylfaen" w:cstheme="minorHAnsi"/>
          <w:sz w:val="20"/>
          <w:szCs w:val="20"/>
          <w:lang w:val="ka-GE"/>
        </w:rPr>
      </w:pPr>
      <w:r>
        <w:rPr>
          <w:rFonts w:ascii="Sylfaen" w:hAnsi="Sylfaen" w:cstheme="minorHAnsi"/>
          <w:sz w:val="20"/>
          <w:szCs w:val="20"/>
          <w:lang w:val="ka-GE"/>
        </w:rPr>
        <w:t>ყველა მრიცხველმა უნდა დააფიქსიროს დრო საქართველოს სტანდარტული დროის მიხედვით;</w:t>
      </w:r>
    </w:p>
    <w:p w14:paraId="30346E53" w14:textId="775E555D" w:rsidR="00D80A03" w:rsidRDefault="00D80A03" w:rsidP="006C23BC">
      <w:pPr>
        <w:pStyle w:val="ListParagraph"/>
        <w:numPr>
          <w:ilvl w:val="0"/>
          <w:numId w:val="14"/>
        </w:numPr>
        <w:spacing w:line="360" w:lineRule="auto"/>
        <w:jc w:val="both"/>
        <w:rPr>
          <w:rFonts w:ascii="Sylfaen" w:hAnsi="Sylfaen" w:cstheme="minorHAnsi"/>
          <w:sz w:val="20"/>
          <w:szCs w:val="20"/>
          <w:lang w:val="ka-GE"/>
        </w:rPr>
      </w:pPr>
      <w:r>
        <w:rPr>
          <w:rFonts w:ascii="Sylfaen" w:hAnsi="Sylfaen" w:cstheme="minorHAnsi"/>
          <w:sz w:val="20"/>
          <w:szCs w:val="20"/>
          <w:lang w:val="ka-GE"/>
        </w:rPr>
        <w:t>მრიცხველებს უნდა შეეძლოთ ძაბვის მიწოდების შეფერხების, ძაბვის ფაზის წყვეტის, დენის მიმართულების ცვლილების, ყველა სხვა სახის პროგრამული ცვლილების თუ შეფერხების დაფიქსირები შესაძლებლობა იმისთვის, რომ მონაცემთა გამოკითხვის (შეგროვების) სისტემამ მოახდინოს არასრულყოფილი (მცდარი) მონაცემების იდენტ</w:t>
      </w:r>
      <w:r w:rsidR="00243238">
        <w:rPr>
          <w:rFonts w:ascii="Sylfaen" w:hAnsi="Sylfaen" w:cstheme="minorHAnsi"/>
          <w:sz w:val="20"/>
          <w:szCs w:val="20"/>
          <w:lang w:val="ka-GE"/>
        </w:rPr>
        <w:t>იფიცირება.</w:t>
      </w:r>
    </w:p>
    <w:p w14:paraId="78FDBF9A" w14:textId="77777777" w:rsidR="00243238" w:rsidRPr="006C23BC" w:rsidRDefault="00243238" w:rsidP="00243238">
      <w:pPr>
        <w:pStyle w:val="ListParagraph"/>
        <w:spacing w:line="360" w:lineRule="auto"/>
        <w:jc w:val="both"/>
        <w:rPr>
          <w:rFonts w:ascii="Sylfaen" w:hAnsi="Sylfaen" w:cstheme="minorHAnsi"/>
          <w:sz w:val="20"/>
          <w:szCs w:val="20"/>
          <w:lang w:val="ka-GE"/>
        </w:rPr>
      </w:pPr>
    </w:p>
    <w:p w14:paraId="45DB345C" w14:textId="77777777" w:rsidR="006C23BC" w:rsidRPr="006C23BC" w:rsidRDefault="006C23BC">
      <w:pPr>
        <w:rPr>
          <w:rFonts w:ascii="Sylfaen" w:hAnsi="Sylfaen" w:cstheme="minorHAnsi"/>
          <w:lang w:val="ka-GE"/>
        </w:rPr>
      </w:pPr>
    </w:p>
    <w:p w14:paraId="0574761B" w14:textId="77777777" w:rsidR="00AD6880" w:rsidRPr="006C23BC" w:rsidRDefault="00AD6880">
      <w:pPr>
        <w:rPr>
          <w:rFonts w:ascii="Sylfaen" w:hAnsi="Sylfaen" w:cstheme="minorHAnsi"/>
          <w:lang w:val="ka-GE"/>
        </w:rPr>
      </w:pPr>
    </w:p>
    <w:p w14:paraId="5FE3A4A0" w14:textId="77777777" w:rsidR="00AD6880" w:rsidRPr="006C23BC" w:rsidRDefault="00AD6880">
      <w:pPr>
        <w:rPr>
          <w:rFonts w:ascii="Sylfaen" w:hAnsi="Sylfaen" w:cstheme="minorHAnsi"/>
          <w:lang w:val="ka-GE"/>
        </w:rPr>
      </w:pPr>
    </w:p>
    <w:p w14:paraId="3B2F7E85" w14:textId="77777777" w:rsidR="00AD6880" w:rsidRPr="006C23BC" w:rsidRDefault="00AD6880">
      <w:pPr>
        <w:rPr>
          <w:rFonts w:ascii="Sylfaen" w:hAnsi="Sylfaen" w:cstheme="minorHAnsi"/>
          <w:lang w:val="ka-GE"/>
        </w:rPr>
      </w:pPr>
    </w:p>
    <w:p w14:paraId="2815797A" w14:textId="77777777" w:rsidR="00AD6880" w:rsidRPr="006C23BC" w:rsidRDefault="00AD6880">
      <w:pPr>
        <w:rPr>
          <w:rFonts w:ascii="Sylfaen" w:hAnsi="Sylfaen" w:cstheme="minorHAnsi"/>
          <w:lang w:val="ka-GE"/>
        </w:rPr>
      </w:pPr>
    </w:p>
    <w:p w14:paraId="5AE209E5" w14:textId="77777777" w:rsidR="00AD6880" w:rsidRPr="006C23BC" w:rsidRDefault="00AD6880">
      <w:pPr>
        <w:rPr>
          <w:rFonts w:ascii="Sylfaen" w:hAnsi="Sylfaen" w:cstheme="minorHAnsi"/>
          <w:lang w:val="ka-GE"/>
        </w:rPr>
      </w:pPr>
    </w:p>
    <w:p w14:paraId="2CA28875" w14:textId="77777777" w:rsidR="00AD6880" w:rsidRPr="006C23BC" w:rsidRDefault="00AD6880">
      <w:pPr>
        <w:rPr>
          <w:rFonts w:ascii="Sylfaen" w:hAnsi="Sylfaen" w:cstheme="minorHAnsi"/>
          <w:lang w:val="ka-GE"/>
        </w:rPr>
      </w:pPr>
    </w:p>
    <w:p w14:paraId="7259CA6A" w14:textId="77777777" w:rsidR="00AD6880" w:rsidRDefault="00AD6880"/>
    <w:sectPr w:rsidR="00AD68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84ED" w14:textId="77777777" w:rsidR="00E058ED" w:rsidRDefault="00E058ED" w:rsidP="003A2B0C">
      <w:pPr>
        <w:spacing w:before="0" w:after="0" w:line="240" w:lineRule="auto"/>
      </w:pPr>
      <w:r>
        <w:separator/>
      </w:r>
    </w:p>
  </w:endnote>
  <w:endnote w:type="continuationSeparator" w:id="0">
    <w:p w14:paraId="12F32956" w14:textId="77777777" w:rsidR="00E058ED" w:rsidRDefault="00E058ED" w:rsidP="003A2B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43D4" w14:textId="77777777" w:rsidR="003A0353" w:rsidRDefault="003A03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758268"/>
      <w:docPartObj>
        <w:docPartGallery w:val="Page Numbers (Bottom of Page)"/>
        <w:docPartUnique/>
      </w:docPartObj>
    </w:sdtPr>
    <w:sdtEndPr>
      <w:rPr>
        <w:noProof/>
      </w:rPr>
    </w:sdtEndPr>
    <w:sdtContent>
      <w:p w14:paraId="1432D276" w14:textId="701B54D3" w:rsidR="00C13957" w:rsidRDefault="00C13957">
        <w:pPr>
          <w:pStyle w:val="Footer"/>
          <w:jc w:val="center"/>
        </w:pPr>
        <w:r>
          <w:fldChar w:fldCharType="begin"/>
        </w:r>
        <w:r>
          <w:instrText xml:space="preserve"> PAGE   \* MERGEFORMAT </w:instrText>
        </w:r>
        <w:r>
          <w:fldChar w:fldCharType="separate"/>
        </w:r>
        <w:r w:rsidR="00897C68">
          <w:rPr>
            <w:noProof/>
          </w:rPr>
          <w:t>1</w:t>
        </w:r>
        <w:r>
          <w:rPr>
            <w:noProof/>
          </w:rPr>
          <w:fldChar w:fldCharType="end"/>
        </w:r>
      </w:p>
    </w:sdtContent>
  </w:sdt>
  <w:p w14:paraId="53F31AA9" w14:textId="77777777" w:rsidR="00C13957" w:rsidRDefault="00C139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E8D3" w14:textId="77777777" w:rsidR="003A0353" w:rsidRDefault="003A03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BEE7" w14:textId="77777777" w:rsidR="00E058ED" w:rsidRDefault="00E058ED" w:rsidP="003A2B0C">
      <w:pPr>
        <w:spacing w:before="0" w:after="0" w:line="240" w:lineRule="auto"/>
      </w:pPr>
      <w:r>
        <w:separator/>
      </w:r>
    </w:p>
  </w:footnote>
  <w:footnote w:type="continuationSeparator" w:id="0">
    <w:p w14:paraId="5C15F2E9" w14:textId="77777777" w:rsidR="00E058ED" w:rsidRDefault="00E058ED" w:rsidP="003A2B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4702" w14:textId="77777777" w:rsidR="003A0353" w:rsidRDefault="003A03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CE" w14:textId="3B1ECFC9" w:rsidR="00D246AE" w:rsidRPr="00DD2C41" w:rsidRDefault="00DD2C41" w:rsidP="00A64E86">
    <w:pPr>
      <w:jc w:val="center"/>
      <w:rPr>
        <w:b/>
        <w:lang w:val="ka-GE"/>
      </w:rPr>
    </w:pPr>
    <w:r w:rsidRPr="00DD2C41">
      <w:rPr>
        <w:b/>
        <w:noProof/>
      </w:rPr>
      <w:drawing>
        <wp:anchor distT="0" distB="0" distL="114300" distR="114300" simplePos="0" relativeHeight="251658240" behindDoc="0" locked="0" layoutInCell="1" allowOverlap="1" wp14:anchorId="0769FDA1" wp14:editId="790A4111">
          <wp:simplePos x="0" y="0"/>
          <wp:positionH relativeFrom="margin">
            <wp:posOffset>3708400</wp:posOffset>
          </wp:positionH>
          <wp:positionV relativeFrom="margin">
            <wp:posOffset>-1148715</wp:posOffset>
          </wp:positionV>
          <wp:extent cx="2286000" cy="1615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1615440"/>
                  </a:xfrm>
                  <a:prstGeom prst="rect">
                    <a:avLst/>
                  </a:prstGeom>
                </pic:spPr>
              </pic:pic>
            </a:graphicData>
          </a:graphic>
          <wp14:sizeRelH relativeFrom="margin">
            <wp14:pctWidth>0</wp14:pctWidth>
          </wp14:sizeRelH>
          <wp14:sizeRelV relativeFrom="margin">
            <wp14:pctHeight>0</wp14:pctHeight>
          </wp14:sizeRelV>
        </wp:anchor>
      </w:drawing>
    </w:r>
    <w:r w:rsidR="003A0353">
      <w:rPr>
        <w:rFonts w:ascii="Sylfaen" w:hAnsi="Sylfaen" w:cs="Sylfaen"/>
        <w:b/>
        <w:lang w:val="ka-GE"/>
      </w:rPr>
      <w:t>დანართი N2-</w:t>
    </w:r>
    <w:r w:rsidRPr="00DD2C41">
      <w:rPr>
        <w:rFonts w:ascii="Sylfaen" w:hAnsi="Sylfaen" w:cs="Sylfaen"/>
        <w:b/>
        <w:lang w:val="ka-GE"/>
      </w:rPr>
      <w:t>განსაკუთრებული</w:t>
    </w:r>
    <w:r w:rsidRPr="00DD2C41">
      <w:rPr>
        <w:b/>
        <w:lang w:val="ka-GE"/>
      </w:rPr>
      <w:t xml:space="preserve"> </w:t>
    </w:r>
    <w:r w:rsidRPr="00DD2C41">
      <w:rPr>
        <w:rFonts w:ascii="Sylfaen" w:hAnsi="Sylfaen" w:cs="Sylfaen"/>
        <w:b/>
        <w:lang w:val="ka-GE"/>
      </w:rPr>
      <w:t>მოთხოვნები</w:t>
    </w:r>
    <w:r w:rsidRPr="00DD2C41">
      <w:rPr>
        <w:b/>
        <w:lang w:val="ka-GE"/>
      </w:rPr>
      <w:t xml:space="preserve"> </w:t>
    </w:r>
    <w:r w:rsidRPr="00DD2C41">
      <w:rPr>
        <w:rFonts w:ascii="Sylfaen" w:hAnsi="Sylfaen" w:cs="Sylfaen"/>
        <w:b/>
        <w:lang w:val="ka-GE"/>
      </w:rPr>
      <w:t>და</w:t>
    </w:r>
    <w:r w:rsidRPr="00DD2C41">
      <w:rPr>
        <w:b/>
        <w:lang w:val="ka-GE"/>
      </w:rPr>
      <w:t xml:space="preserve"> </w:t>
    </w:r>
    <w:r w:rsidRPr="00DD2C41">
      <w:rPr>
        <w:rFonts w:ascii="Sylfaen" w:hAnsi="Sylfaen" w:cs="Sylfaen"/>
        <w:b/>
        <w:lang w:val="ka-GE"/>
      </w:rPr>
      <w:t>ტექნიკური</w:t>
    </w:r>
    <w:r w:rsidRPr="00DD2C41">
      <w:rPr>
        <w:b/>
        <w:lang w:val="ka-GE"/>
      </w:rPr>
      <w:t xml:space="preserve"> </w:t>
    </w:r>
    <w:r w:rsidRPr="00DD2C41">
      <w:rPr>
        <w:rFonts w:ascii="Sylfaen" w:hAnsi="Sylfaen" w:cs="Sylfaen"/>
        <w:b/>
        <w:lang w:val="ka-GE"/>
      </w:rPr>
      <w:t>დავალება</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DB02" w14:textId="77777777" w:rsidR="003A0353" w:rsidRDefault="003A03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1C9"/>
    <w:multiLevelType w:val="hybridMultilevel"/>
    <w:tmpl w:val="6054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33950"/>
    <w:multiLevelType w:val="hybridMultilevel"/>
    <w:tmpl w:val="E794AC0C"/>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F39B5"/>
    <w:multiLevelType w:val="hybridMultilevel"/>
    <w:tmpl w:val="180E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E3F2E"/>
    <w:multiLevelType w:val="hybridMultilevel"/>
    <w:tmpl w:val="86F8524E"/>
    <w:lvl w:ilvl="0" w:tplc="765658A0">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97A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0C48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734B76"/>
    <w:multiLevelType w:val="hybridMultilevel"/>
    <w:tmpl w:val="9CBE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05D64"/>
    <w:multiLevelType w:val="hybridMultilevel"/>
    <w:tmpl w:val="2E143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605D9B"/>
    <w:multiLevelType w:val="hybridMultilevel"/>
    <w:tmpl w:val="433A9E90"/>
    <w:lvl w:ilvl="0" w:tplc="08AC1B68">
      <w:start w:val="1"/>
      <w:numFmt w:val="decimal"/>
      <w:lvlText w:val="%1."/>
      <w:lvlJc w:val="left"/>
      <w:pPr>
        <w:ind w:left="360" w:hanging="360"/>
      </w:pPr>
      <w:rPr>
        <w:rFonts w:hint="default"/>
        <w:sz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632004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3E1085"/>
    <w:multiLevelType w:val="hybridMultilevel"/>
    <w:tmpl w:val="FEC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E6133"/>
    <w:multiLevelType w:val="hybridMultilevel"/>
    <w:tmpl w:val="CAFCB122"/>
    <w:lvl w:ilvl="0" w:tplc="351A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438DD"/>
    <w:multiLevelType w:val="hybridMultilevel"/>
    <w:tmpl w:val="8BD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B3CB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9"/>
  </w:num>
  <w:num w:numId="4">
    <w:abstractNumId w:val="4"/>
  </w:num>
  <w:num w:numId="5">
    <w:abstractNumId w:val="7"/>
  </w:num>
  <w:num w:numId="6">
    <w:abstractNumId w:val="10"/>
  </w:num>
  <w:num w:numId="7">
    <w:abstractNumId w:val="12"/>
  </w:num>
  <w:num w:numId="8">
    <w:abstractNumId w:val="0"/>
  </w:num>
  <w:num w:numId="9">
    <w:abstractNumId w:val="2"/>
  </w:num>
  <w:num w:numId="10">
    <w:abstractNumId w:val="8"/>
  </w:num>
  <w:num w:numId="11">
    <w:abstractNumId w:val="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NjCzsDQxMzczsbBU0lEKTi0uzszPAykwrwUAXcXVsSwAAAA="/>
  </w:docVars>
  <w:rsids>
    <w:rsidRoot w:val="00BA4BC5"/>
    <w:rsid w:val="0001726E"/>
    <w:rsid w:val="00023C99"/>
    <w:rsid w:val="0002433B"/>
    <w:rsid w:val="000410B7"/>
    <w:rsid w:val="00063DF5"/>
    <w:rsid w:val="000716CA"/>
    <w:rsid w:val="000E2371"/>
    <w:rsid w:val="0013249B"/>
    <w:rsid w:val="001335E1"/>
    <w:rsid w:val="00135E17"/>
    <w:rsid w:val="00147CA0"/>
    <w:rsid w:val="00176FE8"/>
    <w:rsid w:val="00180D53"/>
    <w:rsid w:val="001A017B"/>
    <w:rsid w:val="001A3C7D"/>
    <w:rsid w:val="001A3D83"/>
    <w:rsid w:val="001A6A6E"/>
    <w:rsid w:val="001D2A9E"/>
    <w:rsid w:val="001E23AA"/>
    <w:rsid w:val="002105DC"/>
    <w:rsid w:val="00226D77"/>
    <w:rsid w:val="002315AD"/>
    <w:rsid w:val="00231F0D"/>
    <w:rsid w:val="00243238"/>
    <w:rsid w:val="002833BF"/>
    <w:rsid w:val="00296504"/>
    <w:rsid w:val="002A52D0"/>
    <w:rsid w:val="002B4D74"/>
    <w:rsid w:val="002B6D64"/>
    <w:rsid w:val="002B7DBE"/>
    <w:rsid w:val="003143C5"/>
    <w:rsid w:val="00333C8F"/>
    <w:rsid w:val="003A0353"/>
    <w:rsid w:val="003A2B0C"/>
    <w:rsid w:val="003B2FFA"/>
    <w:rsid w:val="004018F7"/>
    <w:rsid w:val="00405A53"/>
    <w:rsid w:val="00407E71"/>
    <w:rsid w:val="004106F7"/>
    <w:rsid w:val="00421CA6"/>
    <w:rsid w:val="004846AB"/>
    <w:rsid w:val="00520EDD"/>
    <w:rsid w:val="005359B3"/>
    <w:rsid w:val="005652DE"/>
    <w:rsid w:val="00581E33"/>
    <w:rsid w:val="005A69DF"/>
    <w:rsid w:val="005B6059"/>
    <w:rsid w:val="005C7299"/>
    <w:rsid w:val="005E6905"/>
    <w:rsid w:val="005F5CBD"/>
    <w:rsid w:val="005F698C"/>
    <w:rsid w:val="00607C31"/>
    <w:rsid w:val="00616FA1"/>
    <w:rsid w:val="00625839"/>
    <w:rsid w:val="00630FC1"/>
    <w:rsid w:val="00673F75"/>
    <w:rsid w:val="006809DD"/>
    <w:rsid w:val="006C23BC"/>
    <w:rsid w:val="006E6D0D"/>
    <w:rsid w:val="006F228E"/>
    <w:rsid w:val="006F4F5A"/>
    <w:rsid w:val="006F74E9"/>
    <w:rsid w:val="00706B37"/>
    <w:rsid w:val="00712DF1"/>
    <w:rsid w:val="00726C25"/>
    <w:rsid w:val="00726F25"/>
    <w:rsid w:val="00741910"/>
    <w:rsid w:val="007746BC"/>
    <w:rsid w:val="00783A43"/>
    <w:rsid w:val="007D4113"/>
    <w:rsid w:val="00814614"/>
    <w:rsid w:val="00814845"/>
    <w:rsid w:val="00865DE0"/>
    <w:rsid w:val="008744BB"/>
    <w:rsid w:val="008764F8"/>
    <w:rsid w:val="00897C68"/>
    <w:rsid w:val="008A2281"/>
    <w:rsid w:val="008B1E9A"/>
    <w:rsid w:val="008C1855"/>
    <w:rsid w:val="008C4904"/>
    <w:rsid w:val="008E5ACE"/>
    <w:rsid w:val="008F51B2"/>
    <w:rsid w:val="00904350"/>
    <w:rsid w:val="00910DBE"/>
    <w:rsid w:val="00914C45"/>
    <w:rsid w:val="00932260"/>
    <w:rsid w:val="00951417"/>
    <w:rsid w:val="009814D2"/>
    <w:rsid w:val="009B31D6"/>
    <w:rsid w:val="009C2637"/>
    <w:rsid w:val="009D34C8"/>
    <w:rsid w:val="009E6FDE"/>
    <w:rsid w:val="00A12FF4"/>
    <w:rsid w:val="00A5272A"/>
    <w:rsid w:val="00A64E86"/>
    <w:rsid w:val="00A81649"/>
    <w:rsid w:val="00A870FA"/>
    <w:rsid w:val="00AB1417"/>
    <w:rsid w:val="00AB7D40"/>
    <w:rsid w:val="00AD48EA"/>
    <w:rsid w:val="00AD6880"/>
    <w:rsid w:val="00B00525"/>
    <w:rsid w:val="00B155F4"/>
    <w:rsid w:val="00B17B17"/>
    <w:rsid w:val="00B3055F"/>
    <w:rsid w:val="00B3328C"/>
    <w:rsid w:val="00B4447B"/>
    <w:rsid w:val="00B73EEB"/>
    <w:rsid w:val="00B95DB2"/>
    <w:rsid w:val="00BA26A0"/>
    <w:rsid w:val="00BA4BC5"/>
    <w:rsid w:val="00BC3264"/>
    <w:rsid w:val="00C11B6B"/>
    <w:rsid w:val="00C13957"/>
    <w:rsid w:val="00C43827"/>
    <w:rsid w:val="00C8052F"/>
    <w:rsid w:val="00CA29F8"/>
    <w:rsid w:val="00CA5DF5"/>
    <w:rsid w:val="00CC6517"/>
    <w:rsid w:val="00CE0506"/>
    <w:rsid w:val="00D052C2"/>
    <w:rsid w:val="00D246AE"/>
    <w:rsid w:val="00D316AF"/>
    <w:rsid w:val="00D51D83"/>
    <w:rsid w:val="00D5711C"/>
    <w:rsid w:val="00D72A94"/>
    <w:rsid w:val="00D76D18"/>
    <w:rsid w:val="00D8091A"/>
    <w:rsid w:val="00D80A03"/>
    <w:rsid w:val="00DA1FB7"/>
    <w:rsid w:val="00DD0638"/>
    <w:rsid w:val="00DD264C"/>
    <w:rsid w:val="00DD2C41"/>
    <w:rsid w:val="00E058ED"/>
    <w:rsid w:val="00E0614E"/>
    <w:rsid w:val="00E859A5"/>
    <w:rsid w:val="00E92E00"/>
    <w:rsid w:val="00EA3BE8"/>
    <w:rsid w:val="00EC3629"/>
    <w:rsid w:val="00ED3792"/>
    <w:rsid w:val="00EF265D"/>
    <w:rsid w:val="00F110F0"/>
    <w:rsid w:val="00F1486E"/>
    <w:rsid w:val="00F14C24"/>
    <w:rsid w:val="00F17258"/>
    <w:rsid w:val="00F37A4C"/>
    <w:rsid w:val="00F77053"/>
    <w:rsid w:val="00F8368E"/>
    <w:rsid w:val="00F924D9"/>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8D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8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AD688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80"/>
    <w:rPr>
      <w:rFonts w:eastAsiaTheme="minorEastAsia"/>
      <w:caps/>
      <w:color w:val="FFFFFF" w:themeColor="background1"/>
      <w:spacing w:val="15"/>
      <w:shd w:val="clear" w:color="auto" w:fill="5B9BD5" w:themeFill="accent1"/>
    </w:rPr>
  </w:style>
  <w:style w:type="paragraph" w:styleId="NormalWeb">
    <w:name w:val="Normal (Web)"/>
    <w:basedOn w:val="Normal"/>
    <w:rsid w:val="00AD6880"/>
    <w:pPr>
      <w:spacing w:beforeAutospacing="1" w:after="100" w:afterAutospacing="1"/>
    </w:pPr>
  </w:style>
  <w:style w:type="paragraph" w:styleId="BodyText">
    <w:name w:val="Body Text"/>
    <w:basedOn w:val="Normal"/>
    <w:link w:val="BodyTextChar"/>
    <w:rsid w:val="00AD6880"/>
    <w:pPr>
      <w:spacing w:before="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D6880"/>
    <w:rPr>
      <w:rFonts w:ascii="Times New Roman" w:eastAsia="Times New Roman" w:hAnsi="Times New Roman" w:cs="Times New Roman"/>
      <w:sz w:val="24"/>
      <w:szCs w:val="24"/>
    </w:rPr>
  </w:style>
  <w:style w:type="table" w:styleId="TableGrid">
    <w:name w:val="Table Grid"/>
    <w:basedOn w:val="TableNormal"/>
    <w:uiPriority w:val="39"/>
    <w:rsid w:val="00AD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AD688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1E33"/>
    <w:pPr>
      <w:spacing w:before="0"/>
      <w:ind w:left="720"/>
      <w:contextualSpacing/>
    </w:pPr>
    <w:rPr>
      <w:sz w:val="22"/>
      <w:szCs w:val="22"/>
    </w:rPr>
  </w:style>
  <w:style w:type="table" w:styleId="GridTable1Light-Accent1">
    <w:name w:val="Grid Table 1 Light Accent 1"/>
    <w:basedOn w:val="TableNormal"/>
    <w:uiPriority w:val="46"/>
    <w:rsid w:val="00231F0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3A2B0C"/>
    <w:pPr>
      <w:spacing w:before="0" w:after="0" w:line="240" w:lineRule="auto"/>
    </w:pPr>
  </w:style>
  <w:style w:type="character" w:customStyle="1" w:styleId="EndnoteTextChar">
    <w:name w:val="Endnote Text Char"/>
    <w:basedOn w:val="DefaultParagraphFont"/>
    <w:link w:val="EndnoteText"/>
    <w:uiPriority w:val="99"/>
    <w:semiHidden/>
    <w:rsid w:val="003A2B0C"/>
    <w:rPr>
      <w:rFonts w:eastAsiaTheme="minorEastAsia"/>
      <w:sz w:val="20"/>
      <w:szCs w:val="20"/>
    </w:rPr>
  </w:style>
  <w:style w:type="character" w:styleId="EndnoteReference">
    <w:name w:val="endnote reference"/>
    <w:basedOn w:val="DefaultParagraphFont"/>
    <w:uiPriority w:val="99"/>
    <w:semiHidden/>
    <w:unhideWhenUsed/>
    <w:rsid w:val="003A2B0C"/>
    <w:rPr>
      <w:vertAlign w:val="superscript"/>
    </w:rPr>
  </w:style>
  <w:style w:type="paragraph" w:styleId="Header">
    <w:name w:val="header"/>
    <w:basedOn w:val="Normal"/>
    <w:link w:val="HeaderChar"/>
    <w:uiPriority w:val="99"/>
    <w:unhideWhenUsed/>
    <w:rsid w:val="007419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1910"/>
    <w:rPr>
      <w:rFonts w:eastAsiaTheme="minorEastAsia"/>
      <w:sz w:val="20"/>
      <w:szCs w:val="20"/>
    </w:rPr>
  </w:style>
  <w:style w:type="paragraph" w:styleId="Footer">
    <w:name w:val="footer"/>
    <w:basedOn w:val="Normal"/>
    <w:link w:val="FooterChar"/>
    <w:uiPriority w:val="99"/>
    <w:unhideWhenUsed/>
    <w:rsid w:val="007419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1910"/>
    <w:rPr>
      <w:rFonts w:eastAsiaTheme="minorEastAsia"/>
      <w:sz w:val="20"/>
      <w:szCs w:val="20"/>
    </w:rPr>
  </w:style>
  <w:style w:type="character" w:styleId="CommentReference">
    <w:name w:val="annotation reference"/>
    <w:basedOn w:val="DefaultParagraphFont"/>
    <w:uiPriority w:val="99"/>
    <w:semiHidden/>
    <w:unhideWhenUsed/>
    <w:rsid w:val="00814614"/>
    <w:rPr>
      <w:sz w:val="16"/>
      <w:szCs w:val="16"/>
    </w:rPr>
  </w:style>
  <w:style w:type="paragraph" w:styleId="CommentText">
    <w:name w:val="annotation text"/>
    <w:basedOn w:val="Normal"/>
    <w:link w:val="CommentTextChar"/>
    <w:uiPriority w:val="99"/>
    <w:semiHidden/>
    <w:unhideWhenUsed/>
    <w:rsid w:val="00814614"/>
    <w:pPr>
      <w:spacing w:line="240" w:lineRule="auto"/>
    </w:pPr>
  </w:style>
  <w:style w:type="character" w:customStyle="1" w:styleId="CommentTextChar">
    <w:name w:val="Comment Text Char"/>
    <w:basedOn w:val="DefaultParagraphFont"/>
    <w:link w:val="CommentText"/>
    <w:uiPriority w:val="99"/>
    <w:semiHidden/>
    <w:rsid w:val="008146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4614"/>
    <w:rPr>
      <w:b/>
      <w:bCs/>
    </w:rPr>
  </w:style>
  <w:style w:type="character" w:customStyle="1" w:styleId="CommentSubjectChar">
    <w:name w:val="Comment Subject Char"/>
    <w:basedOn w:val="CommentTextChar"/>
    <w:link w:val="CommentSubject"/>
    <w:uiPriority w:val="99"/>
    <w:semiHidden/>
    <w:rsid w:val="00814614"/>
    <w:rPr>
      <w:rFonts w:eastAsiaTheme="minorEastAsia"/>
      <w:b/>
      <w:bCs/>
      <w:sz w:val="20"/>
      <w:szCs w:val="20"/>
    </w:rPr>
  </w:style>
  <w:style w:type="paragraph" w:styleId="BalloonText">
    <w:name w:val="Balloon Text"/>
    <w:basedOn w:val="Normal"/>
    <w:link w:val="BalloonTextChar"/>
    <w:uiPriority w:val="99"/>
    <w:semiHidden/>
    <w:unhideWhenUsed/>
    <w:rsid w:val="008146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14"/>
    <w:rPr>
      <w:rFonts w:ascii="Segoe UI" w:eastAsiaTheme="minorEastAsia" w:hAnsi="Segoe UI" w:cs="Segoe UI"/>
      <w:sz w:val="18"/>
      <w:szCs w:val="18"/>
    </w:rPr>
  </w:style>
  <w:style w:type="paragraph" w:styleId="NoSpacing">
    <w:name w:val="No Spacing"/>
    <w:uiPriority w:val="1"/>
    <w:qFormat/>
    <w:rsid w:val="00DD2C41"/>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609">
      <w:bodyDiv w:val="1"/>
      <w:marLeft w:val="0"/>
      <w:marRight w:val="0"/>
      <w:marTop w:val="0"/>
      <w:marBottom w:val="0"/>
      <w:divBdr>
        <w:top w:val="none" w:sz="0" w:space="0" w:color="auto"/>
        <w:left w:val="none" w:sz="0" w:space="0" w:color="auto"/>
        <w:bottom w:val="none" w:sz="0" w:space="0" w:color="auto"/>
        <w:right w:val="none" w:sz="0" w:space="0" w:color="auto"/>
      </w:divBdr>
    </w:div>
    <w:div w:id="585651578">
      <w:bodyDiv w:val="1"/>
      <w:marLeft w:val="0"/>
      <w:marRight w:val="0"/>
      <w:marTop w:val="0"/>
      <w:marBottom w:val="0"/>
      <w:divBdr>
        <w:top w:val="none" w:sz="0" w:space="0" w:color="auto"/>
        <w:left w:val="none" w:sz="0" w:space="0" w:color="auto"/>
        <w:bottom w:val="none" w:sz="0" w:space="0" w:color="auto"/>
        <w:right w:val="none" w:sz="0" w:space="0" w:color="auto"/>
      </w:divBdr>
    </w:div>
    <w:div w:id="1318530972">
      <w:bodyDiv w:val="1"/>
      <w:marLeft w:val="0"/>
      <w:marRight w:val="0"/>
      <w:marTop w:val="0"/>
      <w:marBottom w:val="0"/>
      <w:divBdr>
        <w:top w:val="none" w:sz="0" w:space="0" w:color="auto"/>
        <w:left w:val="none" w:sz="0" w:space="0" w:color="auto"/>
        <w:bottom w:val="none" w:sz="0" w:space="0" w:color="auto"/>
        <w:right w:val="none" w:sz="0" w:space="0" w:color="auto"/>
      </w:divBdr>
    </w:div>
    <w:div w:id="1524326093">
      <w:bodyDiv w:val="1"/>
      <w:marLeft w:val="0"/>
      <w:marRight w:val="0"/>
      <w:marTop w:val="0"/>
      <w:marBottom w:val="0"/>
      <w:divBdr>
        <w:top w:val="none" w:sz="0" w:space="0" w:color="auto"/>
        <w:left w:val="none" w:sz="0" w:space="0" w:color="auto"/>
        <w:bottom w:val="none" w:sz="0" w:space="0" w:color="auto"/>
        <w:right w:val="none" w:sz="0" w:space="0" w:color="auto"/>
      </w:divBdr>
    </w:div>
    <w:div w:id="16785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7598-6B09-4F92-B2FC-395FB6B5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2021-02-18T14:26:00Z</dcterms:created>
  <dcterms:modified xsi:type="dcterms:W3CDTF">2021-02-26T08:24:00Z</dcterms:modified>
</cp:coreProperties>
</file>